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0"/>
          <w:tab w:val="right" w:pos="13323"/>
        </w:tabs>
        <w:spacing w:after="0"/>
        <w:ind w:right="964"/>
        <w:jc w:val="right"/>
        <w:textAlignment w:val="auto"/>
        <w:rPr>
          <w:rFonts w:hint="default" w:ascii="Arial" w:hAnsi="Arial" w:eastAsia="宋体" w:cs="Arial"/>
          <w:b/>
          <w:sz w:val="24"/>
          <w:szCs w:val="24"/>
          <w:lang w:val="en-US" w:eastAsia="zh-CN"/>
        </w:rPr>
      </w:pPr>
      <w:bookmarkStart w:id="0" w:name="_Hlt450051172"/>
      <w:bookmarkEnd w:id="0"/>
      <w:bookmarkStart w:id="1" w:name="_Hlt448930105"/>
      <w:bookmarkEnd w:id="1"/>
      <w:bookmarkStart w:id="2" w:name="_Hlt449016246"/>
      <w:bookmarkEnd w:id="2"/>
      <w:bookmarkStart w:id="3" w:name="_Hlt450039480"/>
      <w:bookmarkEnd w:id="3"/>
      <w:bookmarkStart w:id="4" w:name="_Hlt450066085"/>
      <w:bookmarkEnd w:id="4"/>
      <w:bookmarkStart w:id="5" w:name="_Hlt450066087"/>
      <w:bookmarkEnd w:id="5"/>
      <w:r>
        <w:rPr>
          <w:rFonts w:ascii="Arial" w:hAnsi="Arial" w:cs="Arial"/>
          <w:b/>
          <w:sz w:val="24"/>
          <w:szCs w:val="24"/>
        </w:rPr>
        <w:t>3GPP TSG-RAN WG4 Meeting #1</w:t>
      </w:r>
      <w:r>
        <w:rPr>
          <w:rFonts w:hint="eastAsia" w:ascii="Arial" w:hAnsi="Arial" w:eastAsia="宋体" w:cs="Arial"/>
          <w:b/>
          <w:sz w:val="24"/>
          <w:szCs w:val="24"/>
          <w:lang w:val="en-US" w:eastAsia="zh-CN"/>
        </w:rPr>
        <w:t>1</w:t>
      </w:r>
      <w:r>
        <w:rPr>
          <w:rFonts w:ascii="Arial" w:hAnsi="Arial" w:cs="Arial"/>
          <w:b/>
          <w:sz w:val="24"/>
          <w:szCs w:val="24"/>
        </w:rPr>
        <w:t>6</w:t>
      </w:r>
      <w:r>
        <w:rPr>
          <w:rFonts w:ascii="Arial" w:hAnsi="Arial" w:cs="Arial"/>
          <w:b/>
          <w:sz w:val="24"/>
          <w:szCs w:val="24"/>
        </w:rPr>
        <w:tab/>
      </w:r>
      <w:r>
        <w:rPr>
          <w:rFonts w:ascii="Arial" w:hAnsi="Arial" w:cs="Arial"/>
          <w:b/>
          <w:color w:val="000000"/>
          <w:sz w:val="24"/>
          <w:szCs w:val="24"/>
        </w:rPr>
        <w:t>R4-25</w:t>
      </w:r>
      <w:r>
        <w:rPr>
          <w:rFonts w:hint="eastAsia" w:ascii="Arial" w:hAnsi="Arial" w:cs="Arial"/>
          <w:b/>
          <w:color w:val="000000"/>
          <w:sz w:val="24"/>
          <w:szCs w:val="24"/>
          <w:lang w:val="en-US" w:eastAsia="zh-CN"/>
        </w:rPr>
        <w:t>10363</w:t>
      </w:r>
      <w:bookmarkStart w:id="10" w:name="_GoBack"/>
      <w:bookmarkEnd w:id="10"/>
    </w:p>
    <w:p>
      <w:pPr>
        <w:pStyle w:val="17"/>
        <w:tabs>
          <w:tab w:val="right" w:pos="9781"/>
          <w:tab w:val="right" w:pos="13323"/>
          <w:tab w:val="clear" w:pos="4680"/>
          <w:tab w:val="clear" w:pos="9360"/>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6" w:name="OLE_LINK14"/>
      <w:bookmarkStart w:id="7" w:name="OLE_LINK8"/>
      <w:r>
        <w:rPr>
          <w:rFonts w:hint="eastAsia" w:ascii="Arial" w:hAnsi="Arial"/>
          <w:b/>
          <w:sz w:val="24"/>
          <w:highlight w:val="none"/>
          <w:lang w:val="en-US" w:eastAsia="zh-CN"/>
        </w:rPr>
        <w:t>D</w:t>
      </w:r>
      <w:r>
        <w:rPr>
          <w:rStyle w:val="60"/>
          <w:rFonts w:hint="eastAsia"/>
          <w:b/>
          <w:highlight w:val="none"/>
          <w:lang w:val="pt-BR" w:eastAsia="zh-CN"/>
        </w:rPr>
        <w:t>iscussion on</w:t>
      </w:r>
      <w:bookmarkEnd w:id="6"/>
      <w:bookmarkEnd w:id="7"/>
      <w:r>
        <w:rPr>
          <w:rStyle w:val="60"/>
          <w:rFonts w:hint="eastAsia"/>
          <w:b/>
          <w:highlight w:val="none"/>
          <w:lang w:val="en-US" w:eastAsia="zh-CN"/>
        </w:rPr>
        <w:t xml:space="preserve"> UE RF requirements for NR NTN phase3</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7.27.3.1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102</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Non-Terrestrial Networks (NTN) for NR Phase 3</w:t>
      </w:r>
      <w:r>
        <w:rPr>
          <w:rFonts w:hint="eastAsia"/>
          <w:i w:val="0"/>
          <w:iCs w:val="0"/>
          <w:sz w:val="20"/>
          <w:szCs w:val="20"/>
          <w:lang w:val="en-US" w:eastAsia="zh-CN"/>
        </w:rPr>
        <w:t xml:space="preserve"> with the following RAN4 objective</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further</w:t>
      </w:r>
      <w:r>
        <w:rPr>
          <w:rFonts w:hint="default"/>
          <w:i w:val="0"/>
          <w:iCs w:val="0"/>
          <w:sz w:val="20"/>
          <w:szCs w:val="20"/>
          <w:lang w:val="en-US" w:eastAsia="zh-CN"/>
        </w:rPr>
        <w:t xml:space="preserve"> views from RedCap</w:t>
      </w:r>
      <w:r>
        <w:rPr>
          <w:rFonts w:hint="eastAsia"/>
          <w:i w:val="0"/>
          <w:iCs w:val="0"/>
          <w:sz w:val="20"/>
          <w:szCs w:val="20"/>
          <w:lang w:val="en-US" w:eastAsia="zh-CN"/>
        </w:rPr>
        <w:t xml:space="preserve"> UE RF</w:t>
      </w:r>
      <w:r>
        <w:rPr>
          <w:rFonts w:hint="default"/>
          <w:i w:val="0"/>
          <w:iCs w:val="0"/>
          <w:sz w:val="20"/>
          <w:szCs w:val="20"/>
          <w:lang w:val="en-US" w:eastAsia="zh-CN"/>
        </w:rPr>
        <w:t xml:space="preserve"> perspective.</w:t>
      </w:r>
    </w:p>
    <w:tbl>
      <w:tblPr>
        <w:tblStyle w:val="24"/>
        <w:tblW w:w="0" w:type="auto"/>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tcPr>
          <w:p>
            <w:pPr>
              <w:numPr>
                <w:ilvl w:val="0"/>
                <w:numId w:val="0"/>
              </w:numPr>
              <w:overflowPunct w:val="0"/>
              <w:autoSpaceDE w:val="0"/>
              <w:autoSpaceDN w:val="0"/>
              <w:adjustRightInd w:val="0"/>
              <w:spacing w:after="0" w:line="276" w:lineRule="auto"/>
              <w:ind w:leftChars="0"/>
              <w:textAlignment w:val="baseline"/>
              <w:rPr>
                <w:rFonts w:eastAsia="Malgun Gothic"/>
                <w:sz w:val="20"/>
                <w:szCs w:val="20"/>
                <w:lang w:val="en-US" w:eastAsia="ko-KR"/>
              </w:rPr>
            </w:pPr>
            <w:r>
              <w:rPr>
                <w:rFonts w:eastAsia="Malgun Gothic"/>
                <w:sz w:val="20"/>
                <w:szCs w:val="20"/>
                <w:lang w:val="en-US" w:eastAsia="ko-KR"/>
              </w:rPr>
              <w:t>Support of Rel-17 RedCap and Rel-18 eRedCap UEs with NR NTN operating in FR1-NTN bands [RAN4, RAN1]</w:t>
            </w:r>
          </w:p>
          <w:p>
            <w:pPr>
              <w:pStyle w:val="34"/>
              <w:widowControl w:val="0"/>
              <w:numPr>
                <w:ilvl w:val="0"/>
                <w:numId w:val="8"/>
              </w:numPr>
              <w:overflowPunct w:val="0"/>
              <w:autoSpaceDE w:val="0"/>
              <w:autoSpaceDN w:val="0"/>
              <w:adjustRightInd w:val="0"/>
              <w:spacing w:after="0"/>
              <w:jc w:val="both"/>
              <w:textAlignment w:val="baseline"/>
              <w:rPr>
                <w:rFonts w:ascii="Times New Roman" w:hAnsi="Times New Roman"/>
                <w:sz w:val="20"/>
                <w:szCs w:val="20"/>
              </w:rPr>
            </w:pPr>
            <w:r>
              <w:rPr>
                <w:rFonts w:ascii="Times New Roman" w:hAnsi="Times New Roman"/>
                <w:sz w:val="20"/>
                <w:szCs w:val="20"/>
              </w:rPr>
              <w:t>For full-duplex FDD RedCap and eRedCap UEs, define the RF and RRM requirements [RAN4]</w:t>
            </w:r>
          </w:p>
          <w:p>
            <w:pPr>
              <w:pStyle w:val="34"/>
              <w:widowControl w:val="0"/>
              <w:numPr>
                <w:ilvl w:val="0"/>
                <w:numId w:val="8"/>
              </w:numPr>
              <w:overflowPunct w:val="0"/>
              <w:autoSpaceDE w:val="0"/>
              <w:autoSpaceDN w:val="0"/>
              <w:adjustRightInd w:val="0"/>
              <w:spacing w:after="0"/>
              <w:jc w:val="both"/>
              <w:textAlignment w:val="baseline"/>
              <w:rPr>
                <w:rFonts w:ascii="Times New Roman" w:hAnsi="Times New Roman"/>
                <w:sz w:val="20"/>
                <w:szCs w:val="20"/>
              </w:rPr>
            </w:pPr>
            <w:r>
              <w:rPr>
                <w:rFonts w:ascii="Times New Roman" w:hAnsi="Times New Roman"/>
                <w:sz w:val="20"/>
                <w:szCs w:val="20"/>
              </w:rPr>
              <w:t>For HD-FDD RedCap UEs and eRedCap UEs, check whether any essential changes are needed for their support (i.e. focusing on HD collision rules) by end of Q2/2024 [RAN1]</w:t>
            </w:r>
          </w:p>
          <w:p>
            <w:pPr>
              <w:pStyle w:val="34"/>
              <w:widowControl w:val="0"/>
              <w:numPr>
                <w:ilvl w:val="1"/>
                <w:numId w:val="8"/>
              </w:numPr>
              <w:overflowPunct w:val="0"/>
              <w:autoSpaceDE w:val="0"/>
              <w:autoSpaceDN w:val="0"/>
              <w:adjustRightInd w:val="0"/>
              <w:spacing w:after="0"/>
              <w:jc w:val="both"/>
              <w:textAlignment w:val="baseline"/>
              <w:rPr>
                <w:rFonts w:ascii="Times New Roman" w:hAnsi="Times New Roman"/>
                <w:sz w:val="20"/>
                <w:szCs w:val="20"/>
              </w:rPr>
            </w:pPr>
            <w:r>
              <w:rPr>
                <w:rFonts w:ascii="Times New Roman" w:hAnsi="Times New Roman"/>
                <w:sz w:val="20"/>
                <w:szCs w:val="20"/>
              </w:rPr>
              <w:t>Depending on feasibility assessment above, define the RF and RRM requirements [RAN4]</w:t>
            </w:r>
          </w:p>
          <w:p>
            <w:pPr>
              <w:pStyle w:val="34"/>
              <w:widowControl w:val="0"/>
              <w:numPr>
                <w:ilvl w:val="0"/>
                <w:numId w:val="8"/>
              </w:numPr>
              <w:overflowPunct w:val="0"/>
              <w:autoSpaceDE w:val="0"/>
              <w:autoSpaceDN w:val="0"/>
              <w:adjustRightInd w:val="0"/>
              <w:spacing w:after="0"/>
              <w:jc w:val="both"/>
              <w:textAlignment w:val="baseline"/>
              <w:rPr>
                <w:rFonts w:ascii="Times New Roman" w:hAnsi="Times New Roman"/>
                <w:sz w:val="20"/>
                <w:szCs w:val="20"/>
              </w:rPr>
            </w:pPr>
            <w:r>
              <w:rPr>
                <w:rFonts w:ascii="Times New Roman" w:hAnsi="Times New Roman"/>
                <w:sz w:val="20"/>
                <w:szCs w:val="20"/>
              </w:rPr>
              <w:t>Notes for this objective:</w:t>
            </w:r>
          </w:p>
          <w:p>
            <w:pPr>
              <w:pStyle w:val="34"/>
              <w:widowControl w:val="0"/>
              <w:numPr>
                <w:ilvl w:val="1"/>
                <w:numId w:val="8"/>
              </w:numPr>
              <w:overflowPunct w:val="0"/>
              <w:autoSpaceDE w:val="0"/>
              <w:autoSpaceDN w:val="0"/>
              <w:adjustRightInd w:val="0"/>
              <w:spacing w:after="0"/>
              <w:jc w:val="both"/>
              <w:textAlignment w:val="baseline"/>
              <w:rPr>
                <w:rFonts w:hint="default" w:eastAsia="宋体"/>
                <w:i w:val="0"/>
                <w:iCs w:val="0"/>
                <w:sz w:val="20"/>
                <w:szCs w:val="20"/>
                <w:vertAlign w:val="baseline"/>
                <w:lang w:val="en-US" w:eastAsia="zh-CN"/>
              </w:rPr>
            </w:pPr>
            <w:r>
              <w:rPr>
                <w:rFonts w:ascii="Times New Roman" w:hAnsi="Times New Roman"/>
                <w:sz w:val="20"/>
                <w:szCs w:val="20"/>
              </w:rPr>
              <w:t>GNSS (Global Navigation Satellite Systems) capabilities and simultaneous GNSS and NR-NTN operation is supported in RedCap/eRedCap UE.</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lang w:val="en-US" w:eastAsia="zh-CN"/>
        </w:rPr>
      </w:pPr>
      <w:r>
        <w:rPr>
          <w:rFonts w:hint="eastAsia"/>
          <w:lang w:val="en-US" w:eastAsia="zh-CN"/>
        </w:rPr>
        <w:t>2.1 Simultaneous operation with NR NTN and GNSS</w:t>
      </w:r>
    </w:p>
    <w:p>
      <w:pPr>
        <w:rPr>
          <w:iCs/>
          <w:lang w:val="sv-SE" w:eastAsia="zh-CN"/>
        </w:rPr>
      </w:pPr>
      <w:r>
        <w:rPr>
          <w:iCs/>
          <w:lang w:val="sv-SE" w:eastAsia="zh-CN"/>
        </w:rPr>
        <w:drawing>
          <wp:inline distT="0" distB="0" distL="0" distR="0">
            <wp:extent cx="6122035" cy="2297430"/>
            <wp:effectExtent l="90805" t="73025" r="96520" b="113665"/>
            <wp:docPr id="340143886"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143886" name="Picture 1" descr="A close-up of a document&#10;&#10;AI-generated content may be incorrect."/>
                    <pic:cNvPicPr>
                      <a:picLocks noChangeAspect="1"/>
                    </pic:cNvPicPr>
                  </pic:nvPicPr>
                  <pic:blipFill>
                    <a:blip r:embed="rId14"/>
                    <a:stretch>
                      <a:fillRect/>
                    </a:stretch>
                  </pic:blipFill>
                  <pic:spPr>
                    <a:xfrm>
                      <a:off x="0" y="0"/>
                      <a:ext cx="6122035" cy="2297430"/>
                    </a:xfrm>
                    <a:prstGeom prst="rect">
                      <a:avLst/>
                    </a:prstGeom>
                    <a:solidFill>
                      <a:srgbClr val="FFFFFF">
                        <a:shade val="85000"/>
                      </a:srgbClr>
                    </a:solidFill>
                    <a:ln w="88900" cap="sq">
                      <a:solidFill>
                        <a:srgbClr val="FFFFFF"/>
                      </a:solidFill>
                      <a:miter lim="800000"/>
                      <a:headEnd/>
                      <a:tailEnd/>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pPr>
        <w:rPr>
          <w:rFonts w:hint="default" w:eastAsia="宋体"/>
          <w:iCs/>
          <w:sz w:val="20"/>
          <w:szCs w:val="20"/>
          <w:lang w:val="en-US" w:eastAsia="zh-CN"/>
        </w:rPr>
      </w:pPr>
      <w:r>
        <w:rPr>
          <w:rFonts w:hint="eastAsia"/>
          <w:iCs/>
          <w:sz w:val="20"/>
          <w:szCs w:val="20"/>
          <w:lang w:val="en-US" w:eastAsia="zh-CN"/>
        </w:rPr>
        <w:t xml:space="preserve">The above is reply LS from RAN2 to ask feedback on both duration and periodicity of the IDC free time to be applied to IDC TDM or autonomous denial solution. For IDC free time, we can use the value in IE </w:t>
      </w:r>
      <w:r>
        <w:rPr>
          <w:i/>
          <w:sz w:val="20"/>
          <w:szCs w:val="20"/>
        </w:rPr>
        <w:t>GNSS-PositionFixDuration</w:t>
      </w:r>
      <w:r>
        <w:rPr>
          <w:rFonts w:hint="eastAsia"/>
          <w:i/>
          <w:sz w:val="20"/>
          <w:szCs w:val="20"/>
          <w:lang w:val="en-US" w:eastAsia="zh-CN"/>
        </w:rPr>
        <w:t xml:space="preserve"> </w:t>
      </w:r>
      <w:r>
        <w:rPr>
          <w:rFonts w:hint="eastAsia"/>
          <w:iCs/>
          <w:sz w:val="20"/>
          <w:szCs w:val="20"/>
          <w:lang w:val="en-US" w:eastAsia="zh-CN"/>
        </w:rPr>
        <w:t xml:space="preserve">as a basis. IE </w:t>
      </w:r>
      <w:r>
        <w:rPr>
          <w:i/>
          <w:sz w:val="20"/>
          <w:szCs w:val="20"/>
        </w:rPr>
        <w:t>GNSS-PositionFixDuration</w:t>
      </w:r>
      <w:r>
        <w:rPr>
          <w:rFonts w:hint="eastAsia"/>
          <w:iCs/>
          <w:sz w:val="20"/>
          <w:szCs w:val="20"/>
          <w:lang w:val="en-US" w:eastAsia="zh-CN"/>
        </w:rPr>
        <w:t xml:space="preserve"> is introduced in 36.331, and indicates the time duration required for the UE to acquire a GNSS position. The values indicated in IE </w:t>
      </w:r>
      <w:r>
        <w:rPr>
          <w:i/>
          <w:sz w:val="20"/>
          <w:szCs w:val="20"/>
        </w:rPr>
        <w:t>GNSS-PositionFixDuration</w:t>
      </w:r>
      <w:r>
        <w:rPr>
          <w:rFonts w:hint="eastAsia"/>
          <w:i/>
          <w:sz w:val="20"/>
          <w:szCs w:val="20"/>
          <w:lang w:val="en-US" w:eastAsia="zh-CN"/>
        </w:rPr>
        <w:t xml:space="preserve"> </w:t>
      </w:r>
      <w:r>
        <w:rPr>
          <w:rFonts w:hint="eastAsia"/>
          <w:i w:val="0"/>
          <w:iCs/>
          <w:sz w:val="20"/>
          <w:szCs w:val="20"/>
          <w:lang w:val="en-US" w:eastAsia="zh-CN"/>
        </w:rPr>
        <w:t>are from 1 seconds to 31 seconds to accommodate various scenarios. In reality, GNSS receivers need to go through different start modes—cold, warm, and hot—each impacting the time to first fix (TTFF), or the time it takes for the receiver to compute its initial position. Cold start mode usually need above 20 seconds, while warm start mode needs about 10-20 seconds. For simultaneous operation with NR NTN and GNSS, we only need to consider hot start mode. Hence, the duration of IDC free time could be less than 10 seconds.</w:t>
      </w:r>
    </w:p>
    <w:p>
      <w:pPr>
        <w:rPr>
          <w:rFonts w:hint="eastAsia"/>
          <w:iCs/>
          <w:sz w:val="20"/>
          <w:szCs w:val="18"/>
          <w:lang w:val="en-US" w:eastAsia="zh-CN"/>
        </w:rPr>
      </w:pPr>
      <w:r>
        <w:rPr>
          <w:rFonts w:hint="eastAsia"/>
          <w:b/>
          <w:bCs/>
          <w:i w:val="0"/>
          <w:iCs w:val="0"/>
          <w:sz w:val="20"/>
          <w:szCs w:val="20"/>
          <w:lang w:val="en-US" w:eastAsia="zh-CN"/>
        </w:rPr>
        <w:t>Proposal 1: The duration of IDC free time could be less than 10 seconds.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5"/>
              <w:numPr>
                <w:ilvl w:val="2"/>
                <w:numId w:val="0"/>
              </w:numPr>
              <w:overflowPunct w:val="0"/>
              <w:autoSpaceDE w:val="0"/>
              <w:autoSpaceDN w:val="0"/>
              <w:adjustRightInd w:val="0"/>
              <w:ind w:leftChars="0" w:right="0" w:rightChars="0"/>
              <w:textAlignment w:val="baseline"/>
            </w:pPr>
            <w:bookmarkStart w:id="8" w:name="_Toc185640911"/>
            <w:bookmarkStart w:id="9" w:name="_Toc193474594"/>
            <w:r>
              <w:t>–</w:t>
            </w:r>
            <w:r>
              <w:tab/>
            </w:r>
            <w:r>
              <w:rPr>
                <w:i/>
                <w:iCs/>
                <w:snapToGrid w:val="0"/>
              </w:rPr>
              <w:t>GNSS-PositionFixDuration</w:t>
            </w:r>
            <w:bookmarkEnd w:id="8"/>
            <w:bookmarkEnd w:id="9"/>
          </w:p>
          <w:p>
            <w:pPr>
              <w:keepLines/>
              <w:overflowPunct w:val="0"/>
              <w:autoSpaceDE w:val="0"/>
              <w:autoSpaceDN w:val="0"/>
              <w:adjustRightInd w:val="0"/>
              <w:spacing w:after="180"/>
              <w:textAlignment w:val="baseline"/>
            </w:pPr>
            <w:r>
              <w:t xml:space="preserve">The IE </w:t>
            </w:r>
            <w:r>
              <w:rPr>
                <w:i/>
              </w:rPr>
              <w:t>GNSS-PositionFixDuration</w:t>
            </w:r>
            <w:r>
              <w:t xml:space="preserve"> indicates the time duration required for the UE to acquire a GNSS position</w:t>
            </w:r>
            <w:r>
              <w:rPr>
                <w:iCs/>
                <w:lang w:eastAsia="en-GB"/>
              </w:rPr>
              <w:t>. Value s1 corresponds to 1 second, s2 corresponds to 2 seconds and so on.</w:t>
            </w:r>
          </w:p>
          <w:p>
            <w:pPr>
              <w:pStyle w:val="56"/>
              <w:overflowPunct w:val="0"/>
              <w:autoSpaceDE w:val="0"/>
              <w:autoSpaceDN w:val="0"/>
              <w:adjustRightInd w:val="0"/>
              <w:spacing w:after="180"/>
              <w:textAlignment w:val="baseline"/>
            </w:pPr>
            <w:r>
              <w:rPr>
                <w:i/>
                <w:iCs/>
                <w:snapToGrid w:val="0"/>
              </w:rPr>
              <w:t>GNSS-PositionFixDuration</w:t>
            </w:r>
            <w:r>
              <w:rPr>
                <w:snapToGrid w:val="0"/>
              </w:rPr>
              <w:t xml:space="preserve"> </w:t>
            </w:r>
            <w:r>
              <w:t>information element</w:t>
            </w:r>
          </w:p>
          <w:p>
            <w:pPr>
              <w:pStyle w:val="81"/>
              <w:shd w:val="clear" w:color="auto" w:fill="E6E6E6"/>
              <w:spacing w:after="180"/>
            </w:pPr>
            <w:r>
              <w:t>-- ASN1START</w:t>
            </w:r>
          </w:p>
          <w:p>
            <w:pPr>
              <w:pStyle w:val="81"/>
              <w:shd w:val="clear" w:color="auto" w:fill="E6E6E6"/>
              <w:spacing w:after="180"/>
            </w:pPr>
          </w:p>
          <w:p>
            <w:pPr>
              <w:pStyle w:val="81"/>
              <w:shd w:val="clear" w:color="auto" w:fill="E6E6E6"/>
              <w:spacing w:after="180"/>
            </w:pPr>
            <w:r>
              <w:t>GNSS-PositionFixDuration-r18 ::= ENUMERATED{</w:t>
            </w:r>
          </w:p>
          <w:p>
            <w:pPr>
              <w:pStyle w:val="81"/>
              <w:shd w:val="clear" w:color="auto" w:fill="E6E6E6"/>
              <w:spacing w:after="180"/>
            </w:pPr>
            <w:r>
              <w:tab/>
            </w:r>
            <w:r>
              <w:tab/>
            </w:r>
            <w:r>
              <w:tab/>
            </w:r>
            <w:r>
              <w:tab/>
            </w:r>
            <w:r>
              <w:tab/>
            </w:r>
            <w:r>
              <w:tab/>
            </w:r>
            <w:r>
              <w:tab/>
            </w:r>
            <w:r>
              <w:tab/>
            </w:r>
            <w:r>
              <w:t>s1, s2, s3, s4, s5, s6, s7, s13, s19, s25, s31}</w:t>
            </w:r>
          </w:p>
          <w:p>
            <w:pPr>
              <w:pStyle w:val="81"/>
              <w:shd w:val="clear" w:color="auto" w:fill="E6E6E6"/>
              <w:spacing w:after="180"/>
            </w:pPr>
          </w:p>
          <w:p>
            <w:pPr>
              <w:pStyle w:val="81"/>
              <w:shd w:val="clear" w:color="auto" w:fill="E6E6E6"/>
              <w:spacing w:after="180"/>
            </w:pPr>
            <w:r>
              <w:t>-- ASN1STOP</w:t>
            </w:r>
          </w:p>
          <w:p>
            <w:pPr>
              <w:overflowPunct w:val="0"/>
              <w:autoSpaceDE w:val="0"/>
              <w:autoSpaceDN w:val="0"/>
              <w:adjustRightInd w:val="0"/>
              <w:spacing w:after="180"/>
              <w:textAlignment w:val="baseline"/>
              <w:rPr>
                <w:rFonts w:hint="default"/>
                <w:iCs/>
                <w:sz w:val="20"/>
                <w:szCs w:val="18"/>
                <w:vertAlign w:val="baseline"/>
                <w:lang w:val="en-US" w:eastAsia="zh-CN"/>
              </w:rPr>
            </w:pPr>
          </w:p>
        </w:tc>
      </w:tr>
    </w:tbl>
    <w:p>
      <w:pPr>
        <w:bidi w:val="0"/>
        <w:rPr>
          <w:rFonts w:hint="eastAsia"/>
          <w:lang w:val="en-US" w:eastAsia="zh-CN"/>
        </w:rPr>
      </w:pPr>
    </w:p>
    <w:p>
      <w:pPr>
        <w:bidi w:val="0"/>
        <w:rPr>
          <w:rFonts w:hint="eastAsia"/>
          <w:lang w:val="en-US" w:eastAsia="zh-CN"/>
        </w:rPr>
      </w:pP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lang w:val="en-US" w:eastAsia="zh-CN"/>
        </w:rPr>
      </w:pPr>
      <w:r>
        <w:rPr>
          <w:rFonts w:hint="eastAsia"/>
          <w:lang w:val="en-US" w:eastAsia="zh-CN"/>
        </w:rPr>
        <w:t>2.2 Output power enhancement for NR NTN PC3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
              <w:keepNext w:val="0"/>
              <w:keepLines w:val="0"/>
              <w:pageBreakBefore w:val="0"/>
              <w:widowControl w:val="0"/>
              <w:numPr>
                <w:ilvl w:val="1"/>
                <w:numId w:val="0"/>
              </w:numPr>
              <w:kinsoku/>
              <w:wordWrap/>
              <w:overflowPunct/>
              <w:topLinePunct w:val="0"/>
              <w:autoSpaceDE/>
              <w:autoSpaceDN/>
              <w:bidi w:val="0"/>
              <w:adjustRightInd/>
              <w:snapToGrid/>
              <w:ind w:leftChars="0" w:right="0" w:rightChars="0"/>
              <w:textAlignment w:val="auto"/>
              <w:rPr>
                <w:sz w:val="20"/>
                <w:szCs w:val="20"/>
              </w:rPr>
            </w:pPr>
            <w:r>
              <w:rPr>
                <w:sz w:val="20"/>
                <w:szCs w:val="20"/>
              </w:rPr>
              <w:t xml:space="preserve">Topic 1: Output power enhancement for NR NTN PC3 </w:t>
            </w:r>
          </w:p>
          <w:p>
            <w:pPr>
              <w:keepNext w:val="0"/>
              <w:keepLines w:val="0"/>
              <w:pageBreakBefore w:val="0"/>
              <w:widowControl w:val="0"/>
              <w:kinsoku/>
              <w:wordWrap/>
              <w:overflowPunct/>
              <w:topLinePunct w:val="0"/>
              <w:autoSpaceDE/>
              <w:autoSpaceDN/>
              <w:bidi w:val="0"/>
              <w:adjustRightInd/>
              <w:snapToGrid/>
              <w:spacing w:after="120"/>
              <w:textAlignment w:val="auto"/>
              <w:rPr>
                <w:sz w:val="20"/>
                <w:szCs w:val="20"/>
                <w:lang w:eastAsia="zh-CN"/>
              </w:rPr>
            </w:pPr>
            <w:r>
              <w:rPr>
                <w:b/>
                <w:sz w:val="20"/>
                <w:szCs w:val="20"/>
                <w:lang w:eastAsia="zh-CN"/>
              </w:rPr>
              <w:t>Agreements</w:t>
            </w:r>
            <w:r>
              <w:rPr>
                <w:sz w:val="20"/>
                <w:szCs w:val="20"/>
                <w:lang w:eastAsia="zh-CN"/>
              </w:rPr>
              <w:t xml:space="preserve">: </w:t>
            </w:r>
          </w:p>
          <w:p>
            <w:pPr>
              <w:pStyle w:val="34"/>
              <w:keepNext w:val="0"/>
              <w:keepLines w:val="0"/>
              <w:pageBreakBefore w:val="0"/>
              <w:widowControl w:val="0"/>
              <w:numPr>
                <w:ilvl w:val="0"/>
                <w:numId w:val="9"/>
              </w:numPr>
              <w:kinsoku/>
              <w:wordWrap/>
              <w:overflowPunct/>
              <w:topLinePunct w:val="0"/>
              <w:autoSpaceDE/>
              <w:autoSpaceDN/>
              <w:bidi w:val="0"/>
              <w:adjustRightInd/>
              <w:snapToGrid/>
              <w:spacing w:after="160" w:line="278" w:lineRule="auto"/>
              <w:ind w:firstLineChars="0"/>
              <w:textAlignment w:val="auto"/>
              <w:rPr>
                <w:sz w:val="20"/>
                <w:szCs w:val="20"/>
                <w:lang w:val="en-US"/>
              </w:rPr>
            </w:pPr>
            <w:r>
              <w:rPr>
                <w:sz w:val="20"/>
                <w:szCs w:val="20"/>
              </w:rPr>
              <w:t>Define new UE capabilities for UE to indicate support for the additional power boosting per band and network to enable the boosting</w:t>
            </w:r>
          </w:p>
          <w:p>
            <w:pPr>
              <w:pStyle w:val="34"/>
              <w:keepNext w:val="0"/>
              <w:keepLines w:val="0"/>
              <w:pageBreakBefore w:val="0"/>
              <w:widowControl w:val="0"/>
              <w:numPr>
                <w:ilvl w:val="1"/>
                <w:numId w:val="10"/>
              </w:numPr>
              <w:kinsoku/>
              <w:wordWrap/>
              <w:overflowPunct/>
              <w:topLinePunct w:val="0"/>
              <w:autoSpaceDE/>
              <w:autoSpaceDN/>
              <w:bidi w:val="0"/>
              <w:adjustRightInd/>
              <w:snapToGrid/>
              <w:spacing w:after="160" w:line="278" w:lineRule="auto"/>
              <w:ind w:firstLine="400"/>
              <w:textAlignment w:val="auto"/>
              <w:rPr>
                <w:sz w:val="20"/>
                <w:szCs w:val="20"/>
                <w:lang w:val="en-US"/>
              </w:rPr>
            </w:pPr>
            <w:r>
              <w:rPr>
                <w:sz w:val="20"/>
                <w:szCs w:val="20"/>
              </w:rPr>
              <w:t>FFS for details, capabilities will be needed for feature list</w:t>
            </w:r>
          </w:p>
          <w:p>
            <w:pPr>
              <w:pStyle w:val="34"/>
              <w:keepNext w:val="0"/>
              <w:keepLines w:val="0"/>
              <w:pageBreakBefore w:val="0"/>
              <w:widowControl w:val="0"/>
              <w:numPr>
                <w:ilvl w:val="0"/>
                <w:numId w:val="9"/>
              </w:numPr>
              <w:kinsoku/>
              <w:wordWrap/>
              <w:overflowPunct/>
              <w:topLinePunct w:val="0"/>
              <w:autoSpaceDE/>
              <w:autoSpaceDN/>
              <w:bidi w:val="0"/>
              <w:adjustRightInd/>
              <w:snapToGrid/>
              <w:spacing w:after="160" w:line="278" w:lineRule="auto"/>
              <w:ind w:firstLineChars="0"/>
              <w:textAlignment w:val="auto"/>
              <w:rPr>
                <w:sz w:val="20"/>
                <w:szCs w:val="20"/>
              </w:rPr>
            </w:pPr>
            <w:r>
              <w:rPr>
                <w:sz w:val="20"/>
                <w:szCs w:val="20"/>
              </w:rPr>
              <w:t xml:space="preserve">When UE indicates support for boosting and network enables the boosting, UE reference power is increased, i.e. both Pcmax_L and Pcmax_H are increased </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60" w:line="278" w:lineRule="auto"/>
              <w:ind w:firstLineChars="0"/>
              <w:textAlignment w:val="auto"/>
              <w:rPr>
                <w:sz w:val="20"/>
                <w:szCs w:val="20"/>
              </w:rPr>
            </w:pPr>
            <w:r>
              <w:rPr>
                <w:sz w:val="20"/>
                <w:szCs w:val="20"/>
              </w:rPr>
              <w:t>MPR is not changed for DFT-s-OFDM and QPSK and pi/2 BPSK, [all RB allocations]</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60" w:line="278" w:lineRule="auto"/>
              <w:ind w:firstLineChars="0"/>
              <w:textAlignment w:val="auto"/>
              <w:rPr>
                <w:sz w:val="20"/>
                <w:szCs w:val="20"/>
              </w:rPr>
            </w:pPr>
            <w:r>
              <w:rPr>
                <w:sz w:val="20"/>
                <w:szCs w:val="20"/>
              </w:rPr>
              <w:t>For CP-OFDM and DFT-s-OFDM 16QAM and 64QAM, boosting is allowed by UE implementation and MPR is correspondingly increased by the amount of the boost</w:t>
            </w:r>
          </w:p>
          <w:p>
            <w:pPr>
              <w:keepNext w:val="0"/>
              <w:keepLines w:val="0"/>
              <w:pageBreakBefore w:val="0"/>
              <w:widowControl w:val="0"/>
              <w:numPr>
                <w:ilvl w:val="0"/>
                <w:numId w:val="11"/>
              </w:numPr>
              <w:kinsoku/>
              <w:wordWrap/>
              <w:overflowPunct/>
              <w:topLinePunct w:val="0"/>
              <w:autoSpaceDE/>
              <w:autoSpaceDN/>
              <w:bidi w:val="0"/>
              <w:adjustRightInd/>
              <w:snapToGrid/>
              <w:spacing w:after="180"/>
              <w:textAlignment w:val="auto"/>
              <w:rPr>
                <w:sz w:val="20"/>
                <w:szCs w:val="20"/>
                <w:lang w:val="en-US"/>
              </w:rPr>
            </w:pPr>
            <w:r>
              <w:rPr>
                <w:sz w:val="20"/>
                <w:szCs w:val="20"/>
                <w:lang w:val="en-US"/>
              </w:rPr>
              <w:t xml:space="preserve">Boost is 0.5 dB </w:t>
            </w:r>
          </w:p>
          <w:p>
            <w:pPr>
              <w:keepNext w:val="0"/>
              <w:keepLines w:val="0"/>
              <w:pageBreakBefore w:val="0"/>
              <w:widowControl w:val="0"/>
              <w:numPr>
                <w:ilvl w:val="1"/>
                <w:numId w:val="11"/>
              </w:numPr>
              <w:kinsoku/>
              <w:wordWrap/>
              <w:overflowPunct/>
              <w:topLinePunct w:val="0"/>
              <w:autoSpaceDE/>
              <w:autoSpaceDN/>
              <w:bidi w:val="0"/>
              <w:adjustRightInd/>
              <w:snapToGrid/>
              <w:spacing w:after="180"/>
              <w:textAlignment w:val="auto"/>
              <w:rPr>
                <w:sz w:val="20"/>
                <w:szCs w:val="20"/>
                <w:lang w:val="en-US"/>
              </w:rPr>
            </w:pPr>
            <w:r>
              <w:rPr>
                <w:sz w:val="20"/>
                <w:szCs w:val="20"/>
                <w:lang w:val="en-US"/>
              </w:rPr>
              <w:t>FFS on duplex modes</w:t>
            </w:r>
          </w:p>
          <w:p>
            <w:pPr>
              <w:keepNext w:val="0"/>
              <w:keepLines w:val="0"/>
              <w:pageBreakBefore w:val="0"/>
              <w:widowControl w:val="0"/>
              <w:numPr>
                <w:ilvl w:val="1"/>
                <w:numId w:val="11"/>
              </w:numPr>
              <w:kinsoku/>
              <w:wordWrap/>
              <w:overflowPunct/>
              <w:topLinePunct w:val="0"/>
              <w:autoSpaceDE/>
              <w:autoSpaceDN/>
              <w:bidi w:val="0"/>
              <w:adjustRightInd/>
              <w:snapToGrid/>
              <w:spacing w:after="180"/>
              <w:textAlignment w:val="auto"/>
              <w:rPr>
                <w:sz w:val="20"/>
                <w:szCs w:val="20"/>
                <w:lang w:val="en-US"/>
              </w:rPr>
            </w:pPr>
            <w:r>
              <w:rPr>
                <w:sz w:val="20"/>
                <w:szCs w:val="20"/>
                <w:lang w:val="en-US"/>
              </w:rPr>
              <w:t>For information only: HD-FDD/FD-FDD support is indicated per band</w:t>
            </w:r>
          </w:p>
          <w:p>
            <w:pPr>
              <w:keepNext w:val="0"/>
              <w:keepLines w:val="0"/>
              <w:pageBreakBefore w:val="0"/>
              <w:widowControl w:val="0"/>
              <w:numPr>
                <w:ilvl w:val="2"/>
                <w:numId w:val="11"/>
              </w:numPr>
              <w:kinsoku/>
              <w:wordWrap/>
              <w:overflowPunct/>
              <w:topLinePunct w:val="0"/>
              <w:autoSpaceDE/>
              <w:autoSpaceDN/>
              <w:bidi w:val="0"/>
              <w:adjustRightInd/>
              <w:snapToGrid/>
              <w:spacing w:after="180"/>
              <w:textAlignment w:val="auto"/>
              <w:rPr>
                <w:sz w:val="20"/>
                <w:szCs w:val="20"/>
                <w:lang w:val="en-US"/>
              </w:rPr>
            </w:pPr>
            <w:r>
              <w:rPr>
                <w:sz w:val="20"/>
                <w:szCs w:val="20"/>
                <w:lang w:val="en-US"/>
              </w:rPr>
              <w:t>This means that UE has option to e.g. be HD-FDD in band A and support boosting and be FD-FDD in band B and not support boosting</w:t>
            </w:r>
          </w:p>
          <w:p>
            <w:pPr>
              <w:keepNext w:val="0"/>
              <w:keepLines w:val="0"/>
              <w:pageBreakBefore w:val="0"/>
              <w:widowControl w:val="0"/>
              <w:numPr>
                <w:ilvl w:val="0"/>
                <w:numId w:val="11"/>
              </w:numPr>
              <w:kinsoku/>
              <w:wordWrap/>
              <w:overflowPunct/>
              <w:topLinePunct w:val="0"/>
              <w:autoSpaceDE/>
              <w:autoSpaceDN/>
              <w:bidi w:val="0"/>
              <w:adjustRightInd/>
              <w:snapToGrid/>
              <w:spacing w:after="180"/>
              <w:textAlignment w:val="auto"/>
              <w:rPr>
                <w:sz w:val="20"/>
                <w:szCs w:val="20"/>
                <w:lang w:val="en-US"/>
              </w:rPr>
            </w:pPr>
            <w:r>
              <w:rPr>
                <w:sz w:val="20"/>
                <w:szCs w:val="20"/>
                <w:lang w:val="en-US"/>
              </w:rPr>
              <w:t>Rel-18 and Rel-19 power boosting schemes can be simultaneously supported</w:t>
            </w:r>
          </w:p>
          <w:p>
            <w:pPr>
              <w:keepNext w:val="0"/>
              <w:keepLines w:val="0"/>
              <w:pageBreakBefore w:val="0"/>
              <w:widowControl w:val="0"/>
              <w:numPr>
                <w:ilvl w:val="1"/>
                <w:numId w:val="11"/>
              </w:numPr>
              <w:kinsoku/>
              <w:wordWrap/>
              <w:overflowPunct/>
              <w:topLinePunct w:val="0"/>
              <w:autoSpaceDE/>
              <w:autoSpaceDN/>
              <w:bidi w:val="0"/>
              <w:adjustRightInd/>
              <w:snapToGrid/>
              <w:spacing w:after="180"/>
              <w:textAlignment w:val="auto"/>
              <w:rPr>
                <w:sz w:val="20"/>
                <w:szCs w:val="20"/>
                <w:lang w:val="en-US"/>
              </w:rPr>
            </w:pPr>
            <w:r>
              <w:rPr>
                <w:sz w:val="20"/>
                <w:szCs w:val="20"/>
                <w:lang w:val="en-US"/>
              </w:rPr>
              <w:t>FFS for details</w:t>
            </w:r>
          </w:p>
          <w:p>
            <w:pPr>
              <w:keepNext w:val="0"/>
              <w:keepLines w:val="0"/>
              <w:pageBreakBefore w:val="0"/>
              <w:widowControl w:val="0"/>
              <w:numPr>
                <w:ilvl w:val="0"/>
                <w:numId w:val="11"/>
              </w:numPr>
              <w:kinsoku/>
              <w:wordWrap/>
              <w:overflowPunct/>
              <w:topLinePunct w:val="0"/>
              <w:autoSpaceDE/>
              <w:autoSpaceDN/>
              <w:bidi w:val="0"/>
              <w:adjustRightInd/>
              <w:snapToGrid/>
              <w:spacing w:after="180"/>
              <w:textAlignment w:val="auto"/>
              <w:rPr>
                <w:sz w:val="20"/>
                <w:szCs w:val="20"/>
                <w:lang w:val="en-US"/>
              </w:rPr>
            </w:pPr>
            <w:r>
              <w:rPr>
                <w:sz w:val="20"/>
                <w:szCs w:val="20"/>
                <w:lang w:val="en-US"/>
              </w:rPr>
              <w:t>PC3 ACLR requirements apply for power boosted transmissions</w:t>
            </w:r>
          </w:p>
          <w:p>
            <w:pPr>
              <w:keepNext w:val="0"/>
              <w:keepLines w:val="0"/>
              <w:pageBreakBefore w:val="0"/>
              <w:widowControl w:val="0"/>
              <w:numPr>
                <w:ilvl w:val="0"/>
                <w:numId w:val="11"/>
              </w:numPr>
              <w:kinsoku/>
              <w:wordWrap/>
              <w:overflowPunct/>
              <w:topLinePunct w:val="0"/>
              <w:autoSpaceDE/>
              <w:autoSpaceDN/>
              <w:bidi w:val="0"/>
              <w:adjustRightInd/>
              <w:snapToGrid/>
              <w:spacing w:after="180"/>
              <w:textAlignment w:val="auto"/>
              <w:rPr>
                <w:sz w:val="20"/>
                <w:szCs w:val="20"/>
                <w:lang w:val="en-US"/>
              </w:rPr>
            </w:pPr>
            <w:r>
              <w:rPr>
                <w:sz w:val="20"/>
                <w:szCs w:val="20"/>
              </w:rPr>
              <w:t>Configured maximum output power and MPR updates related to power boosting need to be captured to TS 38.101-5</w:t>
            </w:r>
          </w:p>
          <w:p>
            <w:pPr>
              <w:keepNext w:val="0"/>
              <w:keepLines w:val="0"/>
              <w:pageBreakBefore w:val="0"/>
              <w:widowControl w:val="0"/>
              <w:kinsoku/>
              <w:wordWrap/>
              <w:overflowPunct/>
              <w:topLinePunct w:val="0"/>
              <w:autoSpaceDE/>
              <w:autoSpaceDN/>
              <w:bidi w:val="0"/>
              <w:adjustRightInd/>
              <w:snapToGrid/>
              <w:spacing w:after="180"/>
              <w:textAlignment w:val="auto"/>
              <w:rPr>
                <w:rFonts w:hint="eastAsia"/>
                <w:sz w:val="20"/>
                <w:szCs w:val="20"/>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textAlignment w:val="auto"/>
        <w:rPr>
          <w:rFonts w:hint="default"/>
          <w:sz w:val="20"/>
          <w:szCs w:val="18"/>
          <w:lang w:val="en-US" w:eastAsia="zh-CN"/>
        </w:rPr>
      </w:pPr>
      <w:r>
        <w:rPr>
          <w:rFonts w:hint="eastAsia"/>
          <w:sz w:val="20"/>
          <w:szCs w:val="18"/>
          <w:lang w:val="en-US" w:eastAsia="zh-CN"/>
        </w:rPr>
        <w:t>The above is the agreement and way forward we reached in last meeting [2]. Due to lower RF front-end insertion loss, a new UE capabilities to indicate support for the additional power boosting will be introduced per band and network needs to enable the boosting. For applicable FDD modes, Rel-19 power boosting could be applied to both FD-FDD and HD-FDD as Rel-19 power boosting depends on insertion loss reduction. For the details of the UE capability, we propose to define the following UE feature list table.</w:t>
      </w:r>
    </w:p>
    <w:p>
      <w:pPr>
        <w:rPr>
          <w:rFonts w:hint="default"/>
          <w:sz w:val="20"/>
          <w:szCs w:val="18"/>
          <w:lang w:val="en-US" w:eastAsia="zh-CN"/>
        </w:rPr>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pPr>
      <w:r>
        <w:rPr>
          <w:rFonts w:hint="eastAsia"/>
          <w:b/>
          <w:bCs/>
          <w:i w:val="0"/>
          <w:iCs w:val="0"/>
          <w:sz w:val="20"/>
          <w:szCs w:val="20"/>
          <w:lang w:val="en-US" w:eastAsia="zh-CN"/>
        </w:rPr>
        <w:t>Proposal 2: Introduce a new UE capability to indicate support of Rel-19 power boosting with the following feature list:</w:t>
      </w:r>
    </w:p>
    <w:tbl>
      <w:tblPr>
        <w:tblStyle w:val="23"/>
        <w:tblW w:w="146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737"/>
        <w:gridCol w:w="1191"/>
        <w:gridCol w:w="2381"/>
        <w:gridCol w:w="737"/>
        <w:gridCol w:w="794"/>
        <w:gridCol w:w="1414"/>
        <w:gridCol w:w="1077"/>
        <w:gridCol w:w="1232"/>
        <w:gridCol w:w="794"/>
        <w:gridCol w:w="794"/>
        <w:gridCol w:w="850"/>
        <w:gridCol w:w="510"/>
        <w:gridCol w:w="57"/>
        <w:gridCol w:w="963"/>
        <w:gridCol w:w="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7" w:type="dxa"/>
          <w:trHeight w:val="20" w:hRule="atLeast"/>
          <w:jc w:val="center"/>
        </w:trPr>
        <w:tc>
          <w:tcPr>
            <w:tcW w:w="102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Features</w:t>
            </w:r>
          </w:p>
        </w:tc>
        <w:tc>
          <w:tcPr>
            <w:tcW w:w="737" w:type="dxa"/>
            <w:shd w:val="clear" w:color="auto" w:fill="auto"/>
          </w:tcPr>
          <w:p>
            <w:pPr>
              <w:keepNext/>
              <w:keepLines/>
              <w:overflowPunct w:val="0"/>
              <w:autoSpaceDE w:val="0"/>
              <w:autoSpaceDN w:val="0"/>
              <w:adjustRightInd w:val="0"/>
              <w:jc w:val="center"/>
              <w:textAlignment w:val="baseline"/>
              <w:rPr>
                <w:rFonts w:hint="default" w:ascii="Times New Roman" w:hAnsi="Times New Roman" w:eastAsia="宋体" w:cs="Times New Roman"/>
                <w:kern w:val="2"/>
                <w:sz w:val="21"/>
                <w:lang w:val="en-US" w:eastAsia="zh-CN" w:bidi="ar-SA"/>
              </w:rPr>
            </w:pPr>
            <w:r>
              <w:rPr>
                <w:rFonts w:hint="eastAsia" w:ascii="Arial" w:hAnsi="Arial" w:eastAsia="Times New Roman" w:cs="Arial"/>
                <w:b/>
                <w:sz w:val="18"/>
                <w:lang w:val="en-US" w:eastAsia="zh-CN"/>
              </w:rPr>
              <w:t>Index</w:t>
            </w:r>
          </w:p>
        </w:tc>
        <w:tc>
          <w:tcPr>
            <w:tcW w:w="1191"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2381" w:type="dxa"/>
            <w:shd w:val="clear" w:color="auto" w:fill="auto"/>
          </w:tcPr>
          <w:p>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pPr>
              <w:keepNext/>
              <w:keepLines/>
              <w:overflowPunct w:val="0"/>
              <w:autoSpaceDE w:val="0"/>
              <w:autoSpaceDN w:val="0"/>
              <w:adjustRightInd w:val="0"/>
              <w:jc w:val="center"/>
              <w:textAlignment w:val="baseline"/>
              <w:rPr>
                <w:rFonts w:ascii="Arial" w:hAnsi="Arial" w:cs="Arial"/>
                <w:b/>
                <w:sz w:val="18"/>
              </w:rPr>
            </w:pPr>
          </w:p>
        </w:tc>
        <w:tc>
          <w:tcPr>
            <w:tcW w:w="737"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79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41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1077" w:type="dxa"/>
          </w:tcPr>
          <w:p>
            <w:pPr>
              <w:keepNext/>
              <w:keepLines/>
              <w:rPr>
                <w:rFonts w:ascii="Arial" w:hAnsi="Arial" w:cs="Arial"/>
                <w:b/>
                <w:sz w:val="18"/>
              </w:rPr>
            </w:pPr>
            <w:r>
              <w:rPr>
                <w:rFonts w:ascii="Arial" w:hAnsi="Arial" w:cs="Arial"/>
                <w:b/>
                <w:sz w:val="18"/>
              </w:rPr>
              <w:t>Consequence if the feature is not supported by the UE</w:t>
            </w:r>
          </w:p>
        </w:tc>
        <w:tc>
          <w:tcPr>
            <w:tcW w:w="1232" w:type="dxa"/>
            <w:shd w:val="clear" w:color="auto" w:fill="auto"/>
          </w:tcPr>
          <w:p>
            <w:pPr>
              <w:keepNext/>
              <w:keepLines/>
              <w:rPr>
                <w:rFonts w:ascii="Arial" w:hAnsi="Arial" w:cs="Arial"/>
                <w:b/>
                <w:sz w:val="18"/>
              </w:rPr>
            </w:pPr>
            <w:r>
              <w:rPr>
                <w:rFonts w:ascii="Arial" w:hAnsi="Arial" w:cs="Arial"/>
                <w:b/>
                <w:sz w:val="18"/>
              </w:rPr>
              <w:t>Type</w:t>
            </w:r>
          </w:p>
          <w:p>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79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79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850" w:type="dxa"/>
          </w:tcPr>
          <w:p>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51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020" w:type="dxa"/>
            <w:gridSpan w:val="2"/>
            <w:shd w:val="clear" w:color="auto" w:fill="auto"/>
          </w:tcPr>
          <w:p>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20" w:type="dxa"/>
            <w:shd w:val="clear" w:color="auto" w:fill="auto"/>
          </w:tcPr>
          <w:p>
            <w:pPr>
              <w:keepNext/>
              <w:keepLines/>
              <w:numPr>
                <w:ilvl w:val="0"/>
                <w:numId w:val="12"/>
              </w:numPr>
              <w:overflowPunct w:val="0"/>
              <w:autoSpaceDE w:val="0"/>
              <w:autoSpaceDN w:val="0"/>
              <w:adjustRightInd w:val="0"/>
              <w:textAlignment w:val="baseline"/>
              <w:rPr>
                <w:rFonts w:ascii="Arial" w:hAnsi="Arial" w:cs="Arial" w:eastAsiaTheme="minorEastAsia"/>
                <w:sz w:val="18"/>
                <w:szCs w:val="18"/>
              </w:rPr>
            </w:pPr>
            <w:r>
              <w:rPr>
                <w:rFonts w:ascii="Arial" w:hAnsi="Arial" w:cs="Arial" w:eastAsiaTheme="minorEastAsia"/>
                <w:sz w:val="18"/>
                <w:szCs w:val="18"/>
              </w:rPr>
              <w:t>NR_NTN_Ph3</w:t>
            </w:r>
          </w:p>
        </w:tc>
        <w:tc>
          <w:tcPr>
            <w:tcW w:w="737" w:type="dxa"/>
            <w:shd w:val="clear" w:color="auto" w:fill="auto"/>
          </w:tcPr>
          <w:p>
            <w:pPr>
              <w:keepNext/>
              <w:keepLines/>
              <w:numPr>
                <w:ilvl w:val="0"/>
                <w:numId w:val="0"/>
              </w:numPr>
              <w:overflowPunct w:val="0"/>
              <w:autoSpaceDE w:val="0"/>
              <w:autoSpaceDN w:val="0"/>
              <w:adjustRightInd w:val="0"/>
              <w:textAlignment w:val="baseline"/>
              <w:rPr>
                <w:rFonts w:ascii="Arial" w:hAnsi="Arial" w:cs="Arial" w:eastAsiaTheme="minorEastAsia"/>
                <w:sz w:val="18"/>
                <w:szCs w:val="18"/>
              </w:rPr>
            </w:pPr>
            <w:r>
              <w:rPr>
                <w:rFonts w:hint="eastAsia" w:ascii="Arial" w:hAnsi="Arial" w:cs="Arial"/>
                <w:sz w:val="18"/>
                <w:lang w:val="en-US" w:eastAsia="zh-CN"/>
              </w:rPr>
              <w:t>58-1</w:t>
            </w:r>
          </w:p>
        </w:tc>
        <w:tc>
          <w:tcPr>
            <w:tcW w:w="1191" w:type="dxa"/>
            <w:shd w:val="clear" w:color="auto" w:fill="auto"/>
          </w:tcPr>
          <w:p>
            <w:pPr>
              <w:keepNext/>
              <w:keepLines/>
              <w:overflowPunct w:val="0"/>
              <w:autoSpaceDE w:val="0"/>
              <w:autoSpaceDN w:val="0"/>
              <w:adjustRightInd w:val="0"/>
              <w:textAlignment w:val="baseline"/>
              <w:rPr>
                <w:rFonts w:hint="default" w:ascii="Arial" w:hAnsi="Arial" w:eastAsia="宋体" w:cs="Arial"/>
                <w:sz w:val="18"/>
                <w:lang w:val="en-US" w:eastAsia="zh-CN"/>
              </w:rPr>
            </w:pPr>
            <w:r>
              <w:rPr>
                <w:rFonts w:hint="eastAsia" w:ascii="Arial" w:hAnsi="Arial" w:cs="Arial"/>
                <w:sz w:val="18"/>
                <w:lang w:val="en-US" w:eastAsia="zh-CN"/>
              </w:rPr>
              <w:t>Power boosting for NR-NTN</w:t>
            </w:r>
          </w:p>
        </w:tc>
        <w:tc>
          <w:tcPr>
            <w:tcW w:w="2381" w:type="dxa"/>
            <w:shd w:val="clear" w:color="auto" w:fill="auto"/>
          </w:tcPr>
          <w:p>
            <w:pPr>
              <w:keepNext/>
              <w:keepLines/>
              <w:overflowPunct w:val="0"/>
              <w:autoSpaceDE w:val="0"/>
              <w:autoSpaceDN w:val="0"/>
              <w:adjustRightInd w:val="0"/>
              <w:textAlignment w:val="baseline"/>
              <w:rPr>
                <w:rFonts w:hint="default" w:ascii="Arial" w:hAnsi="Arial" w:eastAsia="宋体" w:cs="Arial"/>
                <w:sz w:val="18"/>
                <w:lang w:val="en-US" w:eastAsia="zh-CN"/>
              </w:rPr>
            </w:pPr>
            <w:r>
              <w:rPr>
                <w:rFonts w:hint="eastAsia" w:ascii="Arial" w:hAnsi="Arial" w:cs="Arial"/>
                <w:sz w:val="18"/>
                <w:lang w:val="en-US" w:eastAsia="zh-CN"/>
              </w:rPr>
              <w:t>Support of UE power boosting for all modulation orders due to lower RF front-end insertion loss. The power boosting is only enabled via RRC powerboostingNTNRel-19.</w:t>
            </w:r>
          </w:p>
        </w:tc>
        <w:tc>
          <w:tcPr>
            <w:tcW w:w="737"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cs="Arial"/>
                <w:color w:val="000000"/>
                <w:sz w:val="18"/>
                <w:szCs w:val="18"/>
              </w:rPr>
              <w:t>N/A</w:t>
            </w:r>
          </w:p>
        </w:tc>
        <w:tc>
          <w:tcPr>
            <w:tcW w:w="794" w:type="dxa"/>
            <w:shd w:val="clear" w:color="auto" w:fill="auto"/>
          </w:tcPr>
          <w:p>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pPr>
              <w:keepNext/>
              <w:keepLines/>
              <w:overflowPunct w:val="0"/>
              <w:autoSpaceDE w:val="0"/>
              <w:autoSpaceDN w:val="0"/>
              <w:adjustRightInd w:val="0"/>
              <w:jc w:val="center"/>
              <w:textAlignment w:val="baseline"/>
              <w:rPr>
                <w:rFonts w:ascii="Arial" w:hAnsi="Arial" w:eastAsia="Gulim" w:cs="Arial"/>
                <w:b/>
                <w:sz w:val="18"/>
              </w:rPr>
            </w:pPr>
            <w:r>
              <w:rPr>
                <w:rFonts w:ascii="Arial" w:hAnsi="Arial" w:cs="Arial"/>
                <w:color w:val="000000"/>
                <w:sz w:val="18"/>
                <w:szCs w:val="18"/>
              </w:rPr>
              <w:t>N/A</w:t>
            </w:r>
          </w:p>
        </w:tc>
        <w:tc>
          <w:tcPr>
            <w:tcW w:w="1077" w:type="dxa"/>
          </w:tcPr>
          <w:p>
            <w:pPr>
              <w:keepNext/>
              <w:keepLines/>
              <w:rPr>
                <w:rFonts w:hint="default" w:ascii="Arial" w:hAnsi="Arial" w:eastAsia="宋体" w:cs="Arial"/>
                <w:sz w:val="18"/>
                <w:lang w:val="en-US" w:eastAsia="zh-CN"/>
              </w:rPr>
            </w:pPr>
            <w:r>
              <w:rPr>
                <w:rFonts w:hint="eastAsia" w:ascii="Arial" w:hAnsi="Arial" w:cs="Arial"/>
                <w:sz w:val="18"/>
                <w:lang w:val="en-US" w:eastAsia="zh-CN"/>
              </w:rPr>
              <w:t>UE cannot support power boosting.</w:t>
            </w:r>
          </w:p>
        </w:tc>
        <w:tc>
          <w:tcPr>
            <w:tcW w:w="1232" w:type="dxa"/>
            <w:shd w:val="clear" w:color="auto" w:fill="auto"/>
          </w:tcPr>
          <w:p>
            <w:pPr>
              <w:keepNext/>
              <w:keepLines/>
              <w:rPr>
                <w:rFonts w:hint="default" w:ascii="Arial" w:hAnsi="Arial" w:eastAsia="宋体" w:cs="Arial"/>
                <w:sz w:val="18"/>
                <w:lang w:val="en-US" w:eastAsia="zh-CN"/>
              </w:rPr>
            </w:pPr>
            <w:r>
              <w:rPr>
                <w:rFonts w:ascii="Arial" w:hAnsi="Arial" w:cs="Arial"/>
                <w:sz w:val="18"/>
              </w:rPr>
              <w:t xml:space="preserve">Per </w:t>
            </w:r>
            <w:r>
              <w:rPr>
                <w:rFonts w:hint="eastAsia" w:ascii="Arial" w:hAnsi="Arial" w:cs="Arial"/>
                <w:sz w:val="18"/>
                <w:lang w:val="en-US" w:eastAsia="zh-CN"/>
              </w:rPr>
              <w:t>band</w:t>
            </w:r>
          </w:p>
        </w:tc>
        <w:tc>
          <w:tcPr>
            <w:tcW w:w="794"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sz w:val="18"/>
                <w:lang w:val="en-US" w:eastAsia="zh-CN"/>
              </w:rPr>
            </w:pPr>
            <w:r>
              <w:rPr>
                <w:rFonts w:hint="eastAsia" w:ascii="Arial" w:hAnsi="Arial" w:cs="Arial"/>
                <w:sz w:val="18"/>
                <w:lang w:val="en-US" w:eastAsia="zh-CN"/>
              </w:rPr>
              <w:t>FDD only</w:t>
            </w:r>
          </w:p>
        </w:tc>
        <w:tc>
          <w:tcPr>
            <w:tcW w:w="794" w:type="dxa"/>
            <w:shd w:val="clear" w:color="auto" w:fill="auto"/>
          </w:tcPr>
          <w:p>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lang w:val="en-GB" w:eastAsia="zh-CN"/>
              </w:rPr>
              <w:t>FR1 only</w:t>
            </w:r>
          </w:p>
        </w:tc>
        <w:tc>
          <w:tcPr>
            <w:tcW w:w="850" w:type="dxa"/>
          </w:tcPr>
          <w:p>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cs="Arial"/>
                <w:color w:val="000000"/>
                <w:sz w:val="18"/>
                <w:szCs w:val="18"/>
              </w:rPr>
              <w:t>N/A</w:t>
            </w:r>
          </w:p>
        </w:tc>
        <w:tc>
          <w:tcPr>
            <w:tcW w:w="567" w:type="dxa"/>
            <w:gridSpan w:val="2"/>
            <w:shd w:val="clear" w:color="auto" w:fill="auto"/>
          </w:tcPr>
          <w:p>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cs="Arial"/>
                <w:color w:val="000000"/>
                <w:sz w:val="18"/>
                <w:szCs w:val="18"/>
              </w:rPr>
              <w:t>N/A</w:t>
            </w:r>
          </w:p>
        </w:tc>
        <w:tc>
          <w:tcPr>
            <w:tcW w:w="1020" w:type="dxa"/>
            <w:gridSpan w:val="2"/>
            <w:shd w:val="clear" w:color="auto" w:fill="auto"/>
          </w:tcPr>
          <w:p>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Optional with capability signalling</w:t>
            </w:r>
          </w:p>
        </w:tc>
      </w:tr>
    </w:tbl>
    <w:p>
      <w:pPr>
        <w:rPr>
          <w:rFonts w:hint="eastAsia"/>
          <w:sz w:val="20"/>
          <w:szCs w:val="18"/>
          <w:lang w:val="en-US" w:eastAsia="zh-CN"/>
        </w:rPr>
        <w:sectPr>
          <w:headerReference r:id="rId11" w:type="default"/>
          <w:pgSz w:w="15840" w:h="12240" w:orient="landscape"/>
          <w:pgMar w:top="1380" w:right="1440" w:bottom="1200" w:left="1440" w:header="720" w:footer="720" w:gutter="0"/>
          <w:pgBorders>
            <w:top w:val="none" w:sz="0" w:space="0"/>
            <w:left w:val="none" w:sz="0" w:space="0"/>
            <w:bottom w:val="none" w:sz="0" w:space="0"/>
            <w:right w:val="none" w:sz="0" w:space="0"/>
          </w:pgBorders>
          <w:cols w:space="720" w:num="1"/>
        </w:sectPr>
      </w:pPr>
    </w:p>
    <w:p>
      <w:pPr>
        <w:rPr>
          <w:rFonts w:hint="default"/>
          <w:iCs/>
          <w:sz w:val="20"/>
          <w:szCs w:val="18"/>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 some views on </w:t>
      </w:r>
      <w:r>
        <w:rPr>
          <w:rFonts w:hint="eastAsia" w:cs="Times New Roman"/>
          <w:b w:val="0"/>
          <w:bCs w:val="0"/>
          <w:kern w:val="0"/>
          <w:sz w:val="20"/>
          <w:szCs w:val="20"/>
          <w:highlight w:val="none"/>
          <w:lang w:val="en-US" w:eastAsia="zh-CN" w:bidi="ar-SA"/>
        </w:rPr>
        <w:t>UE RF requirements for NR NTN phase3</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eastAsia"/>
          <w:iCs/>
          <w:sz w:val="20"/>
          <w:szCs w:val="18"/>
          <w:lang w:val="en-US" w:eastAsia="zh-CN"/>
        </w:rPr>
      </w:pPr>
      <w:r>
        <w:rPr>
          <w:rFonts w:hint="eastAsia"/>
          <w:b/>
          <w:bCs/>
          <w:i w:val="0"/>
          <w:iCs w:val="0"/>
          <w:sz w:val="20"/>
          <w:szCs w:val="20"/>
          <w:lang w:val="en-US" w:eastAsia="zh-CN"/>
        </w:rPr>
        <w:t>Proposal 1: The duration of IDC free time could be less than 10 seconds.</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default"/>
          <w:b/>
          <w:bCs/>
          <w:i w:val="0"/>
          <w:iCs w:val="0"/>
          <w:sz w:val="20"/>
          <w:szCs w:val="20"/>
          <w:lang w:val="en-US" w:eastAsia="zh-CN"/>
        </w:rPr>
      </w:pPr>
      <w:r>
        <w:rPr>
          <w:rFonts w:hint="eastAsia"/>
          <w:b/>
          <w:bCs/>
          <w:i w:val="0"/>
          <w:iCs w:val="0"/>
          <w:sz w:val="20"/>
          <w:szCs w:val="20"/>
          <w:lang w:val="en-US" w:eastAsia="zh-CN"/>
        </w:rPr>
        <w:t>Proposal 2: Introduce a new UE capability to indicate support of Rel-19 power boosting with the following feature list.</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b/>
          <w:bCs/>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3"/>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r>
        <w:rPr>
          <w:rFonts w:hint="eastAsia"/>
          <w:sz w:val="20"/>
          <w:szCs w:val="20"/>
          <w:lang w:val="en-US" w:eastAsia="zh-CN"/>
        </w:rPr>
        <w:t xml:space="preserve">RP-234078, </w:t>
      </w:r>
      <w:r>
        <w:rPr>
          <w:rFonts w:hint="eastAsia" w:ascii="Times New Roman" w:hAnsi="Times New Roman" w:eastAsia="宋体" w:cs="Times New Roman"/>
          <w:b w:val="0"/>
          <w:bCs w:val="0"/>
          <w:color w:val="auto"/>
          <w:sz w:val="20"/>
          <w:szCs w:val="20"/>
          <w:highlight w:val="none"/>
          <w:lang w:val="en-US" w:eastAsia="zh-CN"/>
        </w:rPr>
        <w:t xml:space="preserve">New </w:t>
      </w:r>
      <w:r>
        <w:rPr>
          <w:rFonts w:hint="eastAsia"/>
          <w:sz w:val="20"/>
          <w:szCs w:val="20"/>
          <w:lang w:val="en-US" w:eastAsia="zh-CN"/>
        </w:rPr>
        <w:t>WID: Non-Terrestrial Networks (NTN) for NR Phase 3, Huawei</w:t>
      </w:r>
    </w:p>
    <w:p>
      <w:pPr>
        <w:keepNext/>
        <w:keepLines/>
        <w:pageBreakBefore w:val="0"/>
        <w:widowControl/>
        <w:numPr>
          <w:ilvl w:val="0"/>
          <w:numId w:val="13"/>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R4-2508764</w:t>
      </w:r>
      <w:r>
        <w:rPr>
          <w:rFonts w:hint="eastAsia" w:cs="Times New Roman"/>
          <w:b w:val="0"/>
          <w:bCs w:val="0"/>
          <w:color w:val="auto"/>
          <w:sz w:val="20"/>
          <w:szCs w:val="20"/>
          <w:highlight w:val="none"/>
          <w:lang w:val="en-US" w:eastAsia="zh-CN"/>
        </w:rPr>
        <w:t>, Way Forward for [115][309] NR_NTN_Ph3_General_UE_SAN_RF, Qualcomm Inc.</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12" w:type="default"/>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CBABFE"/>
    <w:multiLevelType w:val="singleLevel"/>
    <w:tmpl w:val="97CBABFE"/>
    <w:lvl w:ilvl="0" w:tentative="0">
      <w:start w:val="58"/>
      <w:numFmt w:val="decimal"/>
      <w:suff w:val="space"/>
      <w:lvlText w:val="%1."/>
      <w:lvlJc w:val="left"/>
    </w:lvl>
  </w:abstractNum>
  <w:abstractNum w:abstractNumId="1">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2">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292B16C3"/>
    <w:multiLevelType w:val="multilevel"/>
    <w:tmpl w:val="292B16C3"/>
    <w:lvl w:ilvl="0" w:tentative="0">
      <w:start w:val="200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8">
    <w:nsid w:val="44CC12E8"/>
    <w:multiLevelType w:val="multilevel"/>
    <w:tmpl w:val="44CC12E8"/>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9">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
    <w:nsid w:val="5F723A5E"/>
    <w:multiLevelType w:val="singleLevel"/>
    <w:tmpl w:val="5F723A5E"/>
    <w:lvl w:ilvl="0" w:tentative="0">
      <w:start w:val="1"/>
      <w:numFmt w:val="decimal"/>
      <w:suff w:val="space"/>
      <w:lvlText w:val="[%1]"/>
      <w:lvlJc w:val="left"/>
    </w:lvl>
  </w:abstractNum>
  <w:abstractNum w:abstractNumId="11">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2">
    <w:nsid w:val="73084D50"/>
    <w:multiLevelType w:val="multilevel"/>
    <w:tmpl w:val="73084D50"/>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num w:numId="1">
    <w:abstractNumId w:val="3"/>
  </w:num>
  <w:num w:numId="2">
    <w:abstractNumId w:val="11"/>
  </w:num>
  <w:num w:numId="3">
    <w:abstractNumId w:val="9"/>
  </w:num>
  <w:num w:numId="4">
    <w:abstractNumId w:val="6"/>
  </w:num>
  <w:num w:numId="5">
    <w:abstractNumId w:val="7"/>
  </w:num>
  <w:num w:numId="6">
    <w:abstractNumId w:val="2"/>
  </w:num>
  <w:num w:numId="7">
    <w:abstractNumId w:val="1"/>
  </w:num>
  <w:num w:numId="8">
    <w:abstractNumId w:val="5"/>
  </w:num>
  <w:num w:numId="9">
    <w:abstractNumId w:val="4"/>
  </w:num>
  <w:num w:numId="10">
    <w:abstractNumId w:val="8"/>
  </w:num>
  <w:num w:numId="11">
    <w:abstractNumId w:val="12"/>
  </w:num>
  <w:num w:numId="12">
    <w:abstractNumId w:val="0"/>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3F85"/>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2CBC"/>
    <w:rsid w:val="015D3EF3"/>
    <w:rsid w:val="016112D3"/>
    <w:rsid w:val="0165788D"/>
    <w:rsid w:val="01764F01"/>
    <w:rsid w:val="018107C9"/>
    <w:rsid w:val="0183684B"/>
    <w:rsid w:val="01854FE9"/>
    <w:rsid w:val="018A47AD"/>
    <w:rsid w:val="018E207B"/>
    <w:rsid w:val="0190283E"/>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32182"/>
    <w:rsid w:val="02655431"/>
    <w:rsid w:val="026E5697"/>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B346E9"/>
    <w:rsid w:val="02D16C80"/>
    <w:rsid w:val="02DC3F9C"/>
    <w:rsid w:val="02E3105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03A5C"/>
    <w:rsid w:val="03445E8F"/>
    <w:rsid w:val="03496C64"/>
    <w:rsid w:val="035154D3"/>
    <w:rsid w:val="03527C38"/>
    <w:rsid w:val="0356746F"/>
    <w:rsid w:val="035909AA"/>
    <w:rsid w:val="0360259A"/>
    <w:rsid w:val="036522E7"/>
    <w:rsid w:val="036E37C2"/>
    <w:rsid w:val="03746F87"/>
    <w:rsid w:val="037C6EF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142BDC"/>
    <w:rsid w:val="04242D1B"/>
    <w:rsid w:val="04251A4C"/>
    <w:rsid w:val="042D2E97"/>
    <w:rsid w:val="04305EA0"/>
    <w:rsid w:val="04310833"/>
    <w:rsid w:val="04343921"/>
    <w:rsid w:val="04346443"/>
    <w:rsid w:val="043865BF"/>
    <w:rsid w:val="043A14AD"/>
    <w:rsid w:val="043F36E4"/>
    <w:rsid w:val="044C78D8"/>
    <w:rsid w:val="04537B11"/>
    <w:rsid w:val="04557675"/>
    <w:rsid w:val="04684A28"/>
    <w:rsid w:val="046C0EAE"/>
    <w:rsid w:val="046F1CC5"/>
    <w:rsid w:val="04782230"/>
    <w:rsid w:val="0479507E"/>
    <w:rsid w:val="047B05A3"/>
    <w:rsid w:val="04894975"/>
    <w:rsid w:val="04922411"/>
    <w:rsid w:val="0492397B"/>
    <w:rsid w:val="04A65723"/>
    <w:rsid w:val="04B14B03"/>
    <w:rsid w:val="04CF6607"/>
    <w:rsid w:val="04D46535"/>
    <w:rsid w:val="04DA1A87"/>
    <w:rsid w:val="04DC0F32"/>
    <w:rsid w:val="04DC52CD"/>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6D5BF6"/>
    <w:rsid w:val="057D1D66"/>
    <w:rsid w:val="059D265F"/>
    <w:rsid w:val="059E1515"/>
    <w:rsid w:val="05AD1B88"/>
    <w:rsid w:val="05B92EC1"/>
    <w:rsid w:val="05D05BD2"/>
    <w:rsid w:val="05DB542B"/>
    <w:rsid w:val="05E078B3"/>
    <w:rsid w:val="05E942A3"/>
    <w:rsid w:val="05EA759F"/>
    <w:rsid w:val="05EE6827"/>
    <w:rsid w:val="05F34184"/>
    <w:rsid w:val="0601277E"/>
    <w:rsid w:val="060C5AED"/>
    <w:rsid w:val="06103146"/>
    <w:rsid w:val="06172561"/>
    <w:rsid w:val="061E54DA"/>
    <w:rsid w:val="061E5E22"/>
    <w:rsid w:val="06223FD1"/>
    <w:rsid w:val="062B2FCF"/>
    <w:rsid w:val="063F63E4"/>
    <w:rsid w:val="06460B91"/>
    <w:rsid w:val="0654187C"/>
    <w:rsid w:val="065475DE"/>
    <w:rsid w:val="06556C03"/>
    <w:rsid w:val="06676354"/>
    <w:rsid w:val="066E5330"/>
    <w:rsid w:val="0675668B"/>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72694"/>
    <w:rsid w:val="070E5E48"/>
    <w:rsid w:val="07105178"/>
    <w:rsid w:val="0712124C"/>
    <w:rsid w:val="07173A36"/>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0676B"/>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544B0A"/>
    <w:rsid w:val="08732D34"/>
    <w:rsid w:val="08787FF0"/>
    <w:rsid w:val="087C4B7B"/>
    <w:rsid w:val="08824DF0"/>
    <w:rsid w:val="0889002B"/>
    <w:rsid w:val="088F7D75"/>
    <w:rsid w:val="089B79D9"/>
    <w:rsid w:val="08A44DA6"/>
    <w:rsid w:val="08AA245A"/>
    <w:rsid w:val="08AD2ACC"/>
    <w:rsid w:val="08B76C9F"/>
    <w:rsid w:val="08BA6E24"/>
    <w:rsid w:val="08C024D5"/>
    <w:rsid w:val="08C562FD"/>
    <w:rsid w:val="08CA27B1"/>
    <w:rsid w:val="08E916DF"/>
    <w:rsid w:val="08F473EA"/>
    <w:rsid w:val="08FC0AA5"/>
    <w:rsid w:val="09077BA6"/>
    <w:rsid w:val="090E2F35"/>
    <w:rsid w:val="091B4FFA"/>
    <w:rsid w:val="092173F4"/>
    <w:rsid w:val="09262DE9"/>
    <w:rsid w:val="092F7300"/>
    <w:rsid w:val="09306537"/>
    <w:rsid w:val="09355076"/>
    <w:rsid w:val="09392119"/>
    <w:rsid w:val="093A736C"/>
    <w:rsid w:val="09445E95"/>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23E40"/>
    <w:rsid w:val="09F67CD5"/>
    <w:rsid w:val="0A054821"/>
    <w:rsid w:val="0A077A43"/>
    <w:rsid w:val="0A0835C8"/>
    <w:rsid w:val="0A0C17EE"/>
    <w:rsid w:val="0A145721"/>
    <w:rsid w:val="0A355EAA"/>
    <w:rsid w:val="0A3708FF"/>
    <w:rsid w:val="0A3B01F9"/>
    <w:rsid w:val="0A3F0488"/>
    <w:rsid w:val="0A402A36"/>
    <w:rsid w:val="0A4236A3"/>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D25E6"/>
    <w:rsid w:val="0AFF6A66"/>
    <w:rsid w:val="0B007F7F"/>
    <w:rsid w:val="0B0130D7"/>
    <w:rsid w:val="0B0250FD"/>
    <w:rsid w:val="0B0B1BDB"/>
    <w:rsid w:val="0B0C7017"/>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CD568B"/>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AD07AE"/>
    <w:rsid w:val="0CB94808"/>
    <w:rsid w:val="0CC146A9"/>
    <w:rsid w:val="0CC37BC2"/>
    <w:rsid w:val="0CD87ABE"/>
    <w:rsid w:val="0CE26C42"/>
    <w:rsid w:val="0CE632FF"/>
    <w:rsid w:val="0CE76B48"/>
    <w:rsid w:val="0CEB5DBE"/>
    <w:rsid w:val="0CFB523A"/>
    <w:rsid w:val="0D074D4A"/>
    <w:rsid w:val="0D0A3371"/>
    <w:rsid w:val="0D0C5764"/>
    <w:rsid w:val="0D1B1E9C"/>
    <w:rsid w:val="0D1C2E6E"/>
    <w:rsid w:val="0D4B44A1"/>
    <w:rsid w:val="0D6811B4"/>
    <w:rsid w:val="0D6E2620"/>
    <w:rsid w:val="0D704E21"/>
    <w:rsid w:val="0D7F48FE"/>
    <w:rsid w:val="0D883C88"/>
    <w:rsid w:val="0D8A6002"/>
    <w:rsid w:val="0D9074CF"/>
    <w:rsid w:val="0D936E72"/>
    <w:rsid w:val="0D966BF7"/>
    <w:rsid w:val="0DB54F84"/>
    <w:rsid w:val="0DB84465"/>
    <w:rsid w:val="0DCC3AE8"/>
    <w:rsid w:val="0DD87842"/>
    <w:rsid w:val="0DDB2C34"/>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40C1C"/>
    <w:rsid w:val="0EAA759E"/>
    <w:rsid w:val="0EAF381F"/>
    <w:rsid w:val="0EB72E4B"/>
    <w:rsid w:val="0ECE6156"/>
    <w:rsid w:val="0EEC6F1D"/>
    <w:rsid w:val="0F027B32"/>
    <w:rsid w:val="0F0621F6"/>
    <w:rsid w:val="0F103291"/>
    <w:rsid w:val="0F15660A"/>
    <w:rsid w:val="0F1D0EA6"/>
    <w:rsid w:val="0F1D498B"/>
    <w:rsid w:val="0F22242C"/>
    <w:rsid w:val="0F337178"/>
    <w:rsid w:val="0F3B15FC"/>
    <w:rsid w:val="0F3C6326"/>
    <w:rsid w:val="0F41022A"/>
    <w:rsid w:val="0F56743B"/>
    <w:rsid w:val="0F5B6D81"/>
    <w:rsid w:val="0F60682C"/>
    <w:rsid w:val="0F661944"/>
    <w:rsid w:val="0F6763D9"/>
    <w:rsid w:val="0F715B2B"/>
    <w:rsid w:val="0F744211"/>
    <w:rsid w:val="0F764270"/>
    <w:rsid w:val="0F7E5E68"/>
    <w:rsid w:val="0F7F273F"/>
    <w:rsid w:val="0F7F7919"/>
    <w:rsid w:val="0F8418ED"/>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123EF8"/>
    <w:rsid w:val="11124F2E"/>
    <w:rsid w:val="11125358"/>
    <w:rsid w:val="111F38A5"/>
    <w:rsid w:val="111F6CBE"/>
    <w:rsid w:val="112D2A42"/>
    <w:rsid w:val="113A22DB"/>
    <w:rsid w:val="114028DC"/>
    <w:rsid w:val="11441C15"/>
    <w:rsid w:val="11583891"/>
    <w:rsid w:val="1159252B"/>
    <w:rsid w:val="115D3400"/>
    <w:rsid w:val="1160765D"/>
    <w:rsid w:val="116F1EB0"/>
    <w:rsid w:val="11727495"/>
    <w:rsid w:val="117A242E"/>
    <w:rsid w:val="117B1D6A"/>
    <w:rsid w:val="117C2D9D"/>
    <w:rsid w:val="117F159E"/>
    <w:rsid w:val="11821DC9"/>
    <w:rsid w:val="11824A0F"/>
    <w:rsid w:val="11897A08"/>
    <w:rsid w:val="11921373"/>
    <w:rsid w:val="119A72EE"/>
    <w:rsid w:val="119B63D1"/>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B59B6"/>
    <w:rsid w:val="120F1E38"/>
    <w:rsid w:val="1210682D"/>
    <w:rsid w:val="122215D3"/>
    <w:rsid w:val="122510AD"/>
    <w:rsid w:val="122F0F93"/>
    <w:rsid w:val="123A05DB"/>
    <w:rsid w:val="124240B9"/>
    <w:rsid w:val="12491684"/>
    <w:rsid w:val="124D0988"/>
    <w:rsid w:val="124E44B4"/>
    <w:rsid w:val="126532DD"/>
    <w:rsid w:val="12680E73"/>
    <w:rsid w:val="12763466"/>
    <w:rsid w:val="127C144F"/>
    <w:rsid w:val="127E5AA6"/>
    <w:rsid w:val="12811F99"/>
    <w:rsid w:val="128645EB"/>
    <w:rsid w:val="128B2749"/>
    <w:rsid w:val="128E1E81"/>
    <w:rsid w:val="129019B5"/>
    <w:rsid w:val="129811DB"/>
    <w:rsid w:val="129937EE"/>
    <w:rsid w:val="129E6282"/>
    <w:rsid w:val="129F3A3A"/>
    <w:rsid w:val="12AA7237"/>
    <w:rsid w:val="12AB7A32"/>
    <w:rsid w:val="12BB6535"/>
    <w:rsid w:val="12BF2501"/>
    <w:rsid w:val="12C7312B"/>
    <w:rsid w:val="12D22971"/>
    <w:rsid w:val="12D469A6"/>
    <w:rsid w:val="12D85654"/>
    <w:rsid w:val="12DF4A87"/>
    <w:rsid w:val="12E265EC"/>
    <w:rsid w:val="12E706B5"/>
    <w:rsid w:val="12EE5106"/>
    <w:rsid w:val="12F777F2"/>
    <w:rsid w:val="1307341C"/>
    <w:rsid w:val="130C40FE"/>
    <w:rsid w:val="130E3629"/>
    <w:rsid w:val="13125197"/>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B324EF"/>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816B50"/>
    <w:rsid w:val="148313F4"/>
    <w:rsid w:val="14843909"/>
    <w:rsid w:val="1485665F"/>
    <w:rsid w:val="14934F1A"/>
    <w:rsid w:val="149559C4"/>
    <w:rsid w:val="14994763"/>
    <w:rsid w:val="149D71D6"/>
    <w:rsid w:val="149E3770"/>
    <w:rsid w:val="149F457C"/>
    <w:rsid w:val="14A13FBC"/>
    <w:rsid w:val="14A67171"/>
    <w:rsid w:val="14AA71CB"/>
    <w:rsid w:val="14AC0C32"/>
    <w:rsid w:val="14B2463E"/>
    <w:rsid w:val="14B57287"/>
    <w:rsid w:val="14B602D5"/>
    <w:rsid w:val="14C45576"/>
    <w:rsid w:val="14C76D6C"/>
    <w:rsid w:val="14CD2018"/>
    <w:rsid w:val="14CE33C4"/>
    <w:rsid w:val="14D60E60"/>
    <w:rsid w:val="14DA3DA1"/>
    <w:rsid w:val="14E60B42"/>
    <w:rsid w:val="14E75E9B"/>
    <w:rsid w:val="14EA1C4D"/>
    <w:rsid w:val="14ED27DF"/>
    <w:rsid w:val="14EF0267"/>
    <w:rsid w:val="14FB736A"/>
    <w:rsid w:val="150222BF"/>
    <w:rsid w:val="150F7C33"/>
    <w:rsid w:val="151178FC"/>
    <w:rsid w:val="1515004B"/>
    <w:rsid w:val="151B7C99"/>
    <w:rsid w:val="151F47CB"/>
    <w:rsid w:val="15207BBA"/>
    <w:rsid w:val="15222DA1"/>
    <w:rsid w:val="15256B65"/>
    <w:rsid w:val="152F4E1B"/>
    <w:rsid w:val="1546665E"/>
    <w:rsid w:val="154806E1"/>
    <w:rsid w:val="154D342A"/>
    <w:rsid w:val="15581ED5"/>
    <w:rsid w:val="1559587F"/>
    <w:rsid w:val="155E7DEC"/>
    <w:rsid w:val="15740334"/>
    <w:rsid w:val="1574662E"/>
    <w:rsid w:val="15751882"/>
    <w:rsid w:val="1575191B"/>
    <w:rsid w:val="157818C6"/>
    <w:rsid w:val="1596622F"/>
    <w:rsid w:val="159F73BB"/>
    <w:rsid w:val="15B03F28"/>
    <w:rsid w:val="15C15E25"/>
    <w:rsid w:val="15C42571"/>
    <w:rsid w:val="15E30A80"/>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031772"/>
    <w:rsid w:val="1712339A"/>
    <w:rsid w:val="17126131"/>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64F51"/>
    <w:rsid w:val="17A875F5"/>
    <w:rsid w:val="17B5256D"/>
    <w:rsid w:val="17B52BE2"/>
    <w:rsid w:val="17B92501"/>
    <w:rsid w:val="17C809DF"/>
    <w:rsid w:val="17DE2FB7"/>
    <w:rsid w:val="17E47B20"/>
    <w:rsid w:val="17E65848"/>
    <w:rsid w:val="17E66DD8"/>
    <w:rsid w:val="17E84839"/>
    <w:rsid w:val="17EE1403"/>
    <w:rsid w:val="17F25234"/>
    <w:rsid w:val="17F33DC6"/>
    <w:rsid w:val="17F45149"/>
    <w:rsid w:val="17FD061B"/>
    <w:rsid w:val="17FD20FD"/>
    <w:rsid w:val="17FE30DF"/>
    <w:rsid w:val="17FF6314"/>
    <w:rsid w:val="18005F41"/>
    <w:rsid w:val="18025414"/>
    <w:rsid w:val="18171305"/>
    <w:rsid w:val="1820454C"/>
    <w:rsid w:val="1829280B"/>
    <w:rsid w:val="18326934"/>
    <w:rsid w:val="18334194"/>
    <w:rsid w:val="183E1D37"/>
    <w:rsid w:val="1840126B"/>
    <w:rsid w:val="1846724A"/>
    <w:rsid w:val="184A22E6"/>
    <w:rsid w:val="184D0787"/>
    <w:rsid w:val="185D1883"/>
    <w:rsid w:val="185E3AA1"/>
    <w:rsid w:val="185F15CF"/>
    <w:rsid w:val="18717152"/>
    <w:rsid w:val="187812BE"/>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F74015"/>
    <w:rsid w:val="19001FFC"/>
    <w:rsid w:val="19083894"/>
    <w:rsid w:val="190E2B4A"/>
    <w:rsid w:val="190E7235"/>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10451"/>
    <w:rsid w:val="1A4858FF"/>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D47B8"/>
    <w:rsid w:val="1B9E64C5"/>
    <w:rsid w:val="1B9E6D4C"/>
    <w:rsid w:val="1BA02AA6"/>
    <w:rsid w:val="1BB07CEA"/>
    <w:rsid w:val="1BB371BF"/>
    <w:rsid w:val="1BBD43BA"/>
    <w:rsid w:val="1BC01115"/>
    <w:rsid w:val="1BC44015"/>
    <w:rsid w:val="1BC96DA5"/>
    <w:rsid w:val="1BCA6284"/>
    <w:rsid w:val="1BCC6C47"/>
    <w:rsid w:val="1BE32C74"/>
    <w:rsid w:val="1BF72906"/>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8F53D9"/>
    <w:rsid w:val="1C92160B"/>
    <w:rsid w:val="1C973EEF"/>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21AE"/>
    <w:rsid w:val="1D037029"/>
    <w:rsid w:val="1D0A6B98"/>
    <w:rsid w:val="1D0E0655"/>
    <w:rsid w:val="1D227612"/>
    <w:rsid w:val="1D3305FF"/>
    <w:rsid w:val="1D395282"/>
    <w:rsid w:val="1D4251BA"/>
    <w:rsid w:val="1D5B2FF2"/>
    <w:rsid w:val="1D5F5386"/>
    <w:rsid w:val="1D614BDA"/>
    <w:rsid w:val="1D70348C"/>
    <w:rsid w:val="1D7072CE"/>
    <w:rsid w:val="1D794A16"/>
    <w:rsid w:val="1D80759A"/>
    <w:rsid w:val="1D8A021B"/>
    <w:rsid w:val="1D9E30A9"/>
    <w:rsid w:val="1DAB1006"/>
    <w:rsid w:val="1DAB2A0A"/>
    <w:rsid w:val="1DB33C11"/>
    <w:rsid w:val="1DC65562"/>
    <w:rsid w:val="1DD34749"/>
    <w:rsid w:val="1DDD201B"/>
    <w:rsid w:val="1DE94164"/>
    <w:rsid w:val="1DEE1B11"/>
    <w:rsid w:val="1E105A20"/>
    <w:rsid w:val="1E164B52"/>
    <w:rsid w:val="1E26583C"/>
    <w:rsid w:val="1E273844"/>
    <w:rsid w:val="1E2F243E"/>
    <w:rsid w:val="1E3B4F6B"/>
    <w:rsid w:val="1E3F5617"/>
    <w:rsid w:val="1E455D19"/>
    <w:rsid w:val="1E595CAF"/>
    <w:rsid w:val="1E5C31E8"/>
    <w:rsid w:val="1E6607F9"/>
    <w:rsid w:val="1E691070"/>
    <w:rsid w:val="1E7E6BFD"/>
    <w:rsid w:val="1E805396"/>
    <w:rsid w:val="1E821B53"/>
    <w:rsid w:val="1E884F62"/>
    <w:rsid w:val="1E8D685D"/>
    <w:rsid w:val="1E984238"/>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D4715"/>
    <w:rsid w:val="1F4F2219"/>
    <w:rsid w:val="1F614D01"/>
    <w:rsid w:val="1F721405"/>
    <w:rsid w:val="1F935819"/>
    <w:rsid w:val="1FA036A3"/>
    <w:rsid w:val="1FA628A2"/>
    <w:rsid w:val="1FA6556D"/>
    <w:rsid w:val="1FA70AD8"/>
    <w:rsid w:val="1FAF2571"/>
    <w:rsid w:val="1FB33036"/>
    <w:rsid w:val="1FC55EDA"/>
    <w:rsid w:val="1FC658C9"/>
    <w:rsid w:val="1FCE593C"/>
    <w:rsid w:val="1FE312AC"/>
    <w:rsid w:val="1FEC5915"/>
    <w:rsid w:val="1FED32EF"/>
    <w:rsid w:val="1FF82884"/>
    <w:rsid w:val="201E6D7C"/>
    <w:rsid w:val="20446081"/>
    <w:rsid w:val="204852AD"/>
    <w:rsid w:val="204A5E48"/>
    <w:rsid w:val="204A6449"/>
    <w:rsid w:val="204E6676"/>
    <w:rsid w:val="20580C17"/>
    <w:rsid w:val="20595924"/>
    <w:rsid w:val="205A5AA0"/>
    <w:rsid w:val="206408C4"/>
    <w:rsid w:val="20773A28"/>
    <w:rsid w:val="208574F4"/>
    <w:rsid w:val="20872047"/>
    <w:rsid w:val="208C4449"/>
    <w:rsid w:val="208F6BAF"/>
    <w:rsid w:val="209414DB"/>
    <w:rsid w:val="20A462BA"/>
    <w:rsid w:val="20B36B92"/>
    <w:rsid w:val="20BF2AAC"/>
    <w:rsid w:val="20C849C7"/>
    <w:rsid w:val="20CB3B24"/>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675117"/>
    <w:rsid w:val="216B7F51"/>
    <w:rsid w:val="21810744"/>
    <w:rsid w:val="218D6EF5"/>
    <w:rsid w:val="2195668B"/>
    <w:rsid w:val="219F69EC"/>
    <w:rsid w:val="21A130EA"/>
    <w:rsid w:val="21B10B64"/>
    <w:rsid w:val="21B405F8"/>
    <w:rsid w:val="21B5366A"/>
    <w:rsid w:val="21B6640A"/>
    <w:rsid w:val="21C267BF"/>
    <w:rsid w:val="21C67C42"/>
    <w:rsid w:val="21CB6217"/>
    <w:rsid w:val="21CD6BCD"/>
    <w:rsid w:val="21CE6067"/>
    <w:rsid w:val="21CF439A"/>
    <w:rsid w:val="21D824E4"/>
    <w:rsid w:val="21E35D49"/>
    <w:rsid w:val="21F00127"/>
    <w:rsid w:val="21F7745C"/>
    <w:rsid w:val="22035C75"/>
    <w:rsid w:val="221D2FA3"/>
    <w:rsid w:val="22225F3D"/>
    <w:rsid w:val="2226635F"/>
    <w:rsid w:val="222D4F0B"/>
    <w:rsid w:val="223A29CF"/>
    <w:rsid w:val="223D7545"/>
    <w:rsid w:val="22411D14"/>
    <w:rsid w:val="22423BE1"/>
    <w:rsid w:val="22454449"/>
    <w:rsid w:val="22500810"/>
    <w:rsid w:val="22596EC8"/>
    <w:rsid w:val="226347BD"/>
    <w:rsid w:val="22682935"/>
    <w:rsid w:val="226E0A7E"/>
    <w:rsid w:val="226F4201"/>
    <w:rsid w:val="227E0D30"/>
    <w:rsid w:val="227E7CD6"/>
    <w:rsid w:val="228A4698"/>
    <w:rsid w:val="22925971"/>
    <w:rsid w:val="22945167"/>
    <w:rsid w:val="229B0BE2"/>
    <w:rsid w:val="22A55CD5"/>
    <w:rsid w:val="22C04851"/>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C6F76"/>
    <w:rsid w:val="234449F5"/>
    <w:rsid w:val="23536618"/>
    <w:rsid w:val="236A33AF"/>
    <w:rsid w:val="236C1BCA"/>
    <w:rsid w:val="237464D5"/>
    <w:rsid w:val="23816932"/>
    <w:rsid w:val="238E01E4"/>
    <w:rsid w:val="238F46A5"/>
    <w:rsid w:val="23925D42"/>
    <w:rsid w:val="239C062C"/>
    <w:rsid w:val="23A9484E"/>
    <w:rsid w:val="23B32F98"/>
    <w:rsid w:val="23B84268"/>
    <w:rsid w:val="23D17D7B"/>
    <w:rsid w:val="23D36D91"/>
    <w:rsid w:val="23E02099"/>
    <w:rsid w:val="23F70BA5"/>
    <w:rsid w:val="23F93D0D"/>
    <w:rsid w:val="2405417E"/>
    <w:rsid w:val="24197365"/>
    <w:rsid w:val="241B5C62"/>
    <w:rsid w:val="24312CB0"/>
    <w:rsid w:val="243A6CBE"/>
    <w:rsid w:val="24513B48"/>
    <w:rsid w:val="2458381E"/>
    <w:rsid w:val="245872F9"/>
    <w:rsid w:val="245943D9"/>
    <w:rsid w:val="245E6B64"/>
    <w:rsid w:val="2463385E"/>
    <w:rsid w:val="246B2606"/>
    <w:rsid w:val="24767C7B"/>
    <w:rsid w:val="247C178B"/>
    <w:rsid w:val="24861BCE"/>
    <w:rsid w:val="2486388F"/>
    <w:rsid w:val="24967323"/>
    <w:rsid w:val="249D5FC8"/>
    <w:rsid w:val="24A1538E"/>
    <w:rsid w:val="24B9450F"/>
    <w:rsid w:val="24C25350"/>
    <w:rsid w:val="24C456B0"/>
    <w:rsid w:val="24C83F94"/>
    <w:rsid w:val="24C9288E"/>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658A2"/>
    <w:rsid w:val="25691F8B"/>
    <w:rsid w:val="256C13EF"/>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053CA"/>
    <w:rsid w:val="26562F1C"/>
    <w:rsid w:val="26577EF5"/>
    <w:rsid w:val="265A5249"/>
    <w:rsid w:val="265C53CB"/>
    <w:rsid w:val="266237C3"/>
    <w:rsid w:val="267550B9"/>
    <w:rsid w:val="26996DAE"/>
    <w:rsid w:val="26BE1846"/>
    <w:rsid w:val="26C472EC"/>
    <w:rsid w:val="26E51F4F"/>
    <w:rsid w:val="26E563DD"/>
    <w:rsid w:val="26E83216"/>
    <w:rsid w:val="26EC491A"/>
    <w:rsid w:val="26ED73E1"/>
    <w:rsid w:val="26F503CD"/>
    <w:rsid w:val="27036506"/>
    <w:rsid w:val="27047832"/>
    <w:rsid w:val="2706037D"/>
    <w:rsid w:val="27077793"/>
    <w:rsid w:val="270D152E"/>
    <w:rsid w:val="27104BA3"/>
    <w:rsid w:val="271436A9"/>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943BC"/>
    <w:rsid w:val="286C77D1"/>
    <w:rsid w:val="286E74F1"/>
    <w:rsid w:val="286F6FC1"/>
    <w:rsid w:val="28760CA0"/>
    <w:rsid w:val="287A2167"/>
    <w:rsid w:val="287B218C"/>
    <w:rsid w:val="288A05DD"/>
    <w:rsid w:val="288C7637"/>
    <w:rsid w:val="28937D89"/>
    <w:rsid w:val="289B0550"/>
    <w:rsid w:val="28A044B5"/>
    <w:rsid w:val="28BD3F79"/>
    <w:rsid w:val="28C8606D"/>
    <w:rsid w:val="28C96C14"/>
    <w:rsid w:val="28DC6BC2"/>
    <w:rsid w:val="28DE11F1"/>
    <w:rsid w:val="28E138E3"/>
    <w:rsid w:val="28E74216"/>
    <w:rsid w:val="28E87EE4"/>
    <w:rsid w:val="28EE6451"/>
    <w:rsid w:val="28F61640"/>
    <w:rsid w:val="28FD484F"/>
    <w:rsid w:val="2900094D"/>
    <w:rsid w:val="290212AC"/>
    <w:rsid w:val="2903396A"/>
    <w:rsid w:val="294E766A"/>
    <w:rsid w:val="2952590A"/>
    <w:rsid w:val="295545AF"/>
    <w:rsid w:val="29623F1E"/>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0500B"/>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24349"/>
    <w:rsid w:val="2A87174E"/>
    <w:rsid w:val="2A8A2F9C"/>
    <w:rsid w:val="2AA45D17"/>
    <w:rsid w:val="2AAB3B94"/>
    <w:rsid w:val="2AAC5A06"/>
    <w:rsid w:val="2AB22DE3"/>
    <w:rsid w:val="2AB369FC"/>
    <w:rsid w:val="2AB775FB"/>
    <w:rsid w:val="2ABB3D6F"/>
    <w:rsid w:val="2AC318D9"/>
    <w:rsid w:val="2AC70B30"/>
    <w:rsid w:val="2ACC2AAF"/>
    <w:rsid w:val="2ACD717C"/>
    <w:rsid w:val="2AD74744"/>
    <w:rsid w:val="2AD91AC2"/>
    <w:rsid w:val="2AE57C95"/>
    <w:rsid w:val="2AEF4C36"/>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62151"/>
    <w:rsid w:val="2B5E6C2A"/>
    <w:rsid w:val="2B637D4B"/>
    <w:rsid w:val="2B6B1684"/>
    <w:rsid w:val="2B7239F2"/>
    <w:rsid w:val="2B7B70BF"/>
    <w:rsid w:val="2B853AF3"/>
    <w:rsid w:val="2B8B422C"/>
    <w:rsid w:val="2B950A36"/>
    <w:rsid w:val="2BA07D38"/>
    <w:rsid w:val="2BBC7962"/>
    <w:rsid w:val="2BC40957"/>
    <w:rsid w:val="2BCA5C66"/>
    <w:rsid w:val="2BCB5DAA"/>
    <w:rsid w:val="2BD65380"/>
    <w:rsid w:val="2BD86372"/>
    <w:rsid w:val="2BDA39FD"/>
    <w:rsid w:val="2BE67ADC"/>
    <w:rsid w:val="2BE725D0"/>
    <w:rsid w:val="2BEF631E"/>
    <w:rsid w:val="2BF369B9"/>
    <w:rsid w:val="2BFC0A4A"/>
    <w:rsid w:val="2C094904"/>
    <w:rsid w:val="2C0E55A1"/>
    <w:rsid w:val="2C1172CF"/>
    <w:rsid w:val="2C14030B"/>
    <w:rsid w:val="2C346DB5"/>
    <w:rsid w:val="2C3A7BF6"/>
    <w:rsid w:val="2C425BCE"/>
    <w:rsid w:val="2C44676A"/>
    <w:rsid w:val="2C495C38"/>
    <w:rsid w:val="2C4A080C"/>
    <w:rsid w:val="2C4E77B9"/>
    <w:rsid w:val="2C54533B"/>
    <w:rsid w:val="2C591378"/>
    <w:rsid w:val="2C5C1E78"/>
    <w:rsid w:val="2C722F9A"/>
    <w:rsid w:val="2C797A76"/>
    <w:rsid w:val="2C8B6C0E"/>
    <w:rsid w:val="2C8F4862"/>
    <w:rsid w:val="2C9E5AC8"/>
    <w:rsid w:val="2CA05674"/>
    <w:rsid w:val="2CA2721B"/>
    <w:rsid w:val="2CA63A0C"/>
    <w:rsid w:val="2CAC6D87"/>
    <w:rsid w:val="2CB23B2C"/>
    <w:rsid w:val="2CB268EE"/>
    <w:rsid w:val="2CB600FC"/>
    <w:rsid w:val="2CBE6567"/>
    <w:rsid w:val="2CCB6E18"/>
    <w:rsid w:val="2CCF5C52"/>
    <w:rsid w:val="2CE01F07"/>
    <w:rsid w:val="2CE8526F"/>
    <w:rsid w:val="2CF061F0"/>
    <w:rsid w:val="2D024DC7"/>
    <w:rsid w:val="2D026315"/>
    <w:rsid w:val="2D0764BD"/>
    <w:rsid w:val="2D0A3DA2"/>
    <w:rsid w:val="2D0B3169"/>
    <w:rsid w:val="2D0D4219"/>
    <w:rsid w:val="2D105AFA"/>
    <w:rsid w:val="2D2279B8"/>
    <w:rsid w:val="2D260795"/>
    <w:rsid w:val="2D274320"/>
    <w:rsid w:val="2D2D2DE2"/>
    <w:rsid w:val="2D3117D3"/>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233D6C"/>
    <w:rsid w:val="2E2D64A9"/>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EFF18FA"/>
    <w:rsid w:val="2F00052B"/>
    <w:rsid w:val="2F0367CD"/>
    <w:rsid w:val="2F1251F2"/>
    <w:rsid w:val="2F2B5FBF"/>
    <w:rsid w:val="2F2D445E"/>
    <w:rsid w:val="2F4B20A5"/>
    <w:rsid w:val="2F4F6FBB"/>
    <w:rsid w:val="2F5A00E5"/>
    <w:rsid w:val="2F5B737E"/>
    <w:rsid w:val="2F664E2B"/>
    <w:rsid w:val="2F6C7BE3"/>
    <w:rsid w:val="2F783485"/>
    <w:rsid w:val="2F7A17CB"/>
    <w:rsid w:val="2F7A78AC"/>
    <w:rsid w:val="2F7F5C0B"/>
    <w:rsid w:val="2F895685"/>
    <w:rsid w:val="2F9A13B4"/>
    <w:rsid w:val="2FA417BA"/>
    <w:rsid w:val="2FA6492D"/>
    <w:rsid w:val="2FC86676"/>
    <w:rsid w:val="2FD17A1B"/>
    <w:rsid w:val="2FD71CA4"/>
    <w:rsid w:val="2FDC432A"/>
    <w:rsid w:val="2FDC4A8D"/>
    <w:rsid w:val="2FE27109"/>
    <w:rsid w:val="2FEA743A"/>
    <w:rsid w:val="2FF24D11"/>
    <w:rsid w:val="2FF93066"/>
    <w:rsid w:val="30017091"/>
    <w:rsid w:val="301742B2"/>
    <w:rsid w:val="301A1509"/>
    <w:rsid w:val="301A71CE"/>
    <w:rsid w:val="301D63DD"/>
    <w:rsid w:val="301E049B"/>
    <w:rsid w:val="302A4BE6"/>
    <w:rsid w:val="30303A18"/>
    <w:rsid w:val="304478EC"/>
    <w:rsid w:val="304F4511"/>
    <w:rsid w:val="30515C8E"/>
    <w:rsid w:val="305823FF"/>
    <w:rsid w:val="306B7868"/>
    <w:rsid w:val="30830761"/>
    <w:rsid w:val="30926F91"/>
    <w:rsid w:val="30962F3E"/>
    <w:rsid w:val="30A85733"/>
    <w:rsid w:val="30AA2585"/>
    <w:rsid w:val="30C16A19"/>
    <w:rsid w:val="30C262B6"/>
    <w:rsid w:val="30CB5800"/>
    <w:rsid w:val="30D32236"/>
    <w:rsid w:val="30D72E30"/>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938E9"/>
    <w:rsid w:val="317E5000"/>
    <w:rsid w:val="31870868"/>
    <w:rsid w:val="31875BB4"/>
    <w:rsid w:val="31A9328B"/>
    <w:rsid w:val="31B718F2"/>
    <w:rsid w:val="31C57B88"/>
    <w:rsid w:val="31D20051"/>
    <w:rsid w:val="31DC626C"/>
    <w:rsid w:val="31E745D2"/>
    <w:rsid w:val="31EF7EE8"/>
    <w:rsid w:val="3201404F"/>
    <w:rsid w:val="32070FA4"/>
    <w:rsid w:val="320901F5"/>
    <w:rsid w:val="320B7CCB"/>
    <w:rsid w:val="32105DE8"/>
    <w:rsid w:val="32286907"/>
    <w:rsid w:val="322E2721"/>
    <w:rsid w:val="322E3DE8"/>
    <w:rsid w:val="3235187E"/>
    <w:rsid w:val="3237186B"/>
    <w:rsid w:val="323B6798"/>
    <w:rsid w:val="32435C91"/>
    <w:rsid w:val="32537B57"/>
    <w:rsid w:val="325779E7"/>
    <w:rsid w:val="325F618E"/>
    <w:rsid w:val="32757E99"/>
    <w:rsid w:val="327D43E5"/>
    <w:rsid w:val="32842CF3"/>
    <w:rsid w:val="328F2182"/>
    <w:rsid w:val="328F5534"/>
    <w:rsid w:val="329A6217"/>
    <w:rsid w:val="329A6ACE"/>
    <w:rsid w:val="329C2950"/>
    <w:rsid w:val="32A145CA"/>
    <w:rsid w:val="32A230DB"/>
    <w:rsid w:val="32B52836"/>
    <w:rsid w:val="32C16E3E"/>
    <w:rsid w:val="32C64505"/>
    <w:rsid w:val="32DF351E"/>
    <w:rsid w:val="32EE5E41"/>
    <w:rsid w:val="32F1510B"/>
    <w:rsid w:val="32F40F87"/>
    <w:rsid w:val="32F520B9"/>
    <w:rsid w:val="32F879A5"/>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47053"/>
    <w:rsid w:val="33AD5111"/>
    <w:rsid w:val="33BF4199"/>
    <w:rsid w:val="33CD23A8"/>
    <w:rsid w:val="33CD6498"/>
    <w:rsid w:val="33D7554F"/>
    <w:rsid w:val="33D825FA"/>
    <w:rsid w:val="33DB2AB1"/>
    <w:rsid w:val="33E52BFA"/>
    <w:rsid w:val="33FE62E7"/>
    <w:rsid w:val="33FF7B8B"/>
    <w:rsid w:val="34080399"/>
    <w:rsid w:val="340D25F6"/>
    <w:rsid w:val="34161D6C"/>
    <w:rsid w:val="341E19AD"/>
    <w:rsid w:val="34221EAF"/>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A603C"/>
    <w:rsid w:val="35257EF7"/>
    <w:rsid w:val="352821F6"/>
    <w:rsid w:val="3533698A"/>
    <w:rsid w:val="35387F19"/>
    <w:rsid w:val="3539550B"/>
    <w:rsid w:val="354319AA"/>
    <w:rsid w:val="354D5E0E"/>
    <w:rsid w:val="355D10E3"/>
    <w:rsid w:val="356150BC"/>
    <w:rsid w:val="356678B4"/>
    <w:rsid w:val="3573649F"/>
    <w:rsid w:val="35774602"/>
    <w:rsid w:val="357E4B0A"/>
    <w:rsid w:val="35866D7F"/>
    <w:rsid w:val="358E1E8F"/>
    <w:rsid w:val="358F6BDF"/>
    <w:rsid w:val="35917C0B"/>
    <w:rsid w:val="359371C8"/>
    <w:rsid w:val="35A26AC9"/>
    <w:rsid w:val="35A440D7"/>
    <w:rsid w:val="35C06D50"/>
    <w:rsid w:val="35CD6F14"/>
    <w:rsid w:val="35D24294"/>
    <w:rsid w:val="35D71152"/>
    <w:rsid w:val="35F629BD"/>
    <w:rsid w:val="35F96008"/>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25B4"/>
    <w:rsid w:val="368230C6"/>
    <w:rsid w:val="36843A03"/>
    <w:rsid w:val="368C605B"/>
    <w:rsid w:val="368E51F1"/>
    <w:rsid w:val="368F7E4F"/>
    <w:rsid w:val="36985297"/>
    <w:rsid w:val="369F633B"/>
    <w:rsid w:val="36A30FDB"/>
    <w:rsid w:val="36A7007C"/>
    <w:rsid w:val="36AB07EC"/>
    <w:rsid w:val="36B24AE8"/>
    <w:rsid w:val="36BD0DC4"/>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B60F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326676"/>
    <w:rsid w:val="39440601"/>
    <w:rsid w:val="39457B13"/>
    <w:rsid w:val="394B6470"/>
    <w:rsid w:val="395C6EA8"/>
    <w:rsid w:val="39841325"/>
    <w:rsid w:val="39872512"/>
    <w:rsid w:val="39A602F9"/>
    <w:rsid w:val="39BD45C8"/>
    <w:rsid w:val="39C0619E"/>
    <w:rsid w:val="39C2316A"/>
    <w:rsid w:val="39F36281"/>
    <w:rsid w:val="39FD376D"/>
    <w:rsid w:val="39FD6C9C"/>
    <w:rsid w:val="39FF6B36"/>
    <w:rsid w:val="3A0224B9"/>
    <w:rsid w:val="3A0526B5"/>
    <w:rsid w:val="3A14011B"/>
    <w:rsid w:val="3A1509F4"/>
    <w:rsid w:val="3A16728B"/>
    <w:rsid w:val="3A16794C"/>
    <w:rsid w:val="3A1E055E"/>
    <w:rsid w:val="3A1F6809"/>
    <w:rsid w:val="3A226969"/>
    <w:rsid w:val="3A3F47CE"/>
    <w:rsid w:val="3A410243"/>
    <w:rsid w:val="3A475185"/>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4317CA"/>
    <w:rsid w:val="3B552653"/>
    <w:rsid w:val="3B5A2A22"/>
    <w:rsid w:val="3B707794"/>
    <w:rsid w:val="3B7804A3"/>
    <w:rsid w:val="3B796B5F"/>
    <w:rsid w:val="3B8E2153"/>
    <w:rsid w:val="3B9B2072"/>
    <w:rsid w:val="3BA03B83"/>
    <w:rsid w:val="3BA91F03"/>
    <w:rsid w:val="3BB16FA6"/>
    <w:rsid w:val="3BB17CE6"/>
    <w:rsid w:val="3BB20883"/>
    <w:rsid w:val="3BB448B0"/>
    <w:rsid w:val="3BC34E75"/>
    <w:rsid w:val="3BCB270F"/>
    <w:rsid w:val="3BD569C2"/>
    <w:rsid w:val="3BD96AA6"/>
    <w:rsid w:val="3BDB053C"/>
    <w:rsid w:val="3BE4466B"/>
    <w:rsid w:val="3BEC2DB7"/>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53F71"/>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576C"/>
    <w:rsid w:val="3D316CDB"/>
    <w:rsid w:val="3D3373BD"/>
    <w:rsid w:val="3D3768D2"/>
    <w:rsid w:val="3D3A3838"/>
    <w:rsid w:val="3D3D6BBD"/>
    <w:rsid w:val="3D404CC7"/>
    <w:rsid w:val="3D450F8C"/>
    <w:rsid w:val="3D477118"/>
    <w:rsid w:val="3D51285A"/>
    <w:rsid w:val="3D594E54"/>
    <w:rsid w:val="3D62706F"/>
    <w:rsid w:val="3D6E2272"/>
    <w:rsid w:val="3D772B05"/>
    <w:rsid w:val="3D7C727A"/>
    <w:rsid w:val="3D81786B"/>
    <w:rsid w:val="3D830417"/>
    <w:rsid w:val="3D877AC5"/>
    <w:rsid w:val="3D882D35"/>
    <w:rsid w:val="3D8B2C7B"/>
    <w:rsid w:val="3D8D2848"/>
    <w:rsid w:val="3D8D5DCB"/>
    <w:rsid w:val="3D94235D"/>
    <w:rsid w:val="3D9461E1"/>
    <w:rsid w:val="3DAF37B0"/>
    <w:rsid w:val="3DB34E86"/>
    <w:rsid w:val="3DB36BC6"/>
    <w:rsid w:val="3DB80A86"/>
    <w:rsid w:val="3DBE6A34"/>
    <w:rsid w:val="3DC00481"/>
    <w:rsid w:val="3DDA3E19"/>
    <w:rsid w:val="3DED0F96"/>
    <w:rsid w:val="3DF130D5"/>
    <w:rsid w:val="3DF95812"/>
    <w:rsid w:val="3DFC0C8E"/>
    <w:rsid w:val="3E0040D9"/>
    <w:rsid w:val="3E1328D6"/>
    <w:rsid w:val="3E162CA6"/>
    <w:rsid w:val="3E1B7668"/>
    <w:rsid w:val="3E1C6544"/>
    <w:rsid w:val="3E1D4B24"/>
    <w:rsid w:val="3E2A7B0A"/>
    <w:rsid w:val="3E314520"/>
    <w:rsid w:val="3E3A04FA"/>
    <w:rsid w:val="3E3D6B96"/>
    <w:rsid w:val="3E3F202E"/>
    <w:rsid w:val="3E441C7D"/>
    <w:rsid w:val="3E490256"/>
    <w:rsid w:val="3E4C2EC5"/>
    <w:rsid w:val="3E55739E"/>
    <w:rsid w:val="3E6C43C8"/>
    <w:rsid w:val="3E77468B"/>
    <w:rsid w:val="3E8227F0"/>
    <w:rsid w:val="3E937F82"/>
    <w:rsid w:val="3E9726BC"/>
    <w:rsid w:val="3E9B4B40"/>
    <w:rsid w:val="3EA926A7"/>
    <w:rsid w:val="3EB71AC8"/>
    <w:rsid w:val="3EC85E34"/>
    <w:rsid w:val="3ECF2AAC"/>
    <w:rsid w:val="3ED0424C"/>
    <w:rsid w:val="3ED07B7E"/>
    <w:rsid w:val="3EDC2C5B"/>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75AD6"/>
    <w:rsid w:val="3FBA1D11"/>
    <w:rsid w:val="3FC36557"/>
    <w:rsid w:val="3FC84868"/>
    <w:rsid w:val="3FC956FF"/>
    <w:rsid w:val="3FD13F50"/>
    <w:rsid w:val="3FDC5F31"/>
    <w:rsid w:val="3FE04625"/>
    <w:rsid w:val="3FE86CE8"/>
    <w:rsid w:val="3FEF3DCD"/>
    <w:rsid w:val="3FF148F7"/>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8D6122"/>
    <w:rsid w:val="40A163F1"/>
    <w:rsid w:val="40A25054"/>
    <w:rsid w:val="40A325E0"/>
    <w:rsid w:val="40AE30AC"/>
    <w:rsid w:val="40AE7A15"/>
    <w:rsid w:val="40B41AE2"/>
    <w:rsid w:val="40B7228C"/>
    <w:rsid w:val="40BD0DA1"/>
    <w:rsid w:val="40D877F9"/>
    <w:rsid w:val="40EC7D18"/>
    <w:rsid w:val="40ED11A0"/>
    <w:rsid w:val="40F92E97"/>
    <w:rsid w:val="40FD1BF0"/>
    <w:rsid w:val="41015E92"/>
    <w:rsid w:val="41096BC0"/>
    <w:rsid w:val="410A75B6"/>
    <w:rsid w:val="410B452A"/>
    <w:rsid w:val="41146D26"/>
    <w:rsid w:val="411B6EDC"/>
    <w:rsid w:val="413353F1"/>
    <w:rsid w:val="41464224"/>
    <w:rsid w:val="414C0B0E"/>
    <w:rsid w:val="41513BC9"/>
    <w:rsid w:val="41735B7F"/>
    <w:rsid w:val="419302E2"/>
    <w:rsid w:val="419E558F"/>
    <w:rsid w:val="419E60D3"/>
    <w:rsid w:val="41A25332"/>
    <w:rsid w:val="41A339F5"/>
    <w:rsid w:val="41A36C7E"/>
    <w:rsid w:val="41AA4A84"/>
    <w:rsid w:val="41AF06D0"/>
    <w:rsid w:val="41B06152"/>
    <w:rsid w:val="41C45B38"/>
    <w:rsid w:val="41C93F6C"/>
    <w:rsid w:val="41D5139D"/>
    <w:rsid w:val="41D75714"/>
    <w:rsid w:val="41DD3BC3"/>
    <w:rsid w:val="41E535F4"/>
    <w:rsid w:val="41EE2F03"/>
    <w:rsid w:val="41F466FD"/>
    <w:rsid w:val="42002BC7"/>
    <w:rsid w:val="42026B03"/>
    <w:rsid w:val="420C60D5"/>
    <w:rsid w:val="420D197F"/>
    <w:rsid w:val="42130DE5"/>
    <w:rsid w:val="42170BD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143B8"/>
    <w:rsid w:val="42A37FC3"/>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35C1"/>
    <w:rsid w:val="431C44AA"/>
    <w:rsid w:val="43296963"/>
    <w:rsid w:val="4332317A"/>
    <w:rsid w:val="433246A0"/>
    <w:rsid w:val="433E7EE2"/>
    <w:rsid w:val="433F6B54"/>
    <w:rsid w:val="43424AD7"/>
    <w:rsid w:val="4346543A"/>
    <w:rsid w:val="43533E29"/>
    <w:rsid w:val="43561E16"/>
    <w:rsid w:val="435B1259"/>
    <w:rsid w:val="436263D5"/>
    <w:rsid w:val="437556C4"/>
    <w:rsid w:val="43874CD4"/>
    <w:rsid w:val="43874FE8"/>
    <w:rsid w:val="439B699F"/>
    <w:rsid w:val="439D3E18"/>
    <w:rsid w:val="439F1200"/>
    <w:rsid w:val="43AE320F"/>
    <w:rsid w:val="43AF2D32"/>
    <w:rsid w:val="43B13512"/>
    <w:rsid w:val="43B76E4F"/>
    <w:rsid w:val="43BD260B"/>
    <w:rsid w:val="43C24E88"/>
    <w:rsid w:val="43C9176D"/>
    <w:rsid w:val="43CF0206"/>
    <w:rsid w:val="43D50BA1"/>
    <w:rsid w:val="43D81E71"/>
    <w:rsid w:val="43D85D6D"/>
    <w:rsid w:val="43E23D98"/>
    <w:rsid w:val="43EC6F1F"/>
    <w:rsid w:val="43F124F2"/>
    <w:rsid w:val="43FE44BA"/>
    <w:rsid w:val="43FE63A7"/>
    <w:rsid w:val="440656C2"/>
    <w:rsid w:val="440D5045"/>
    <w:rsid w:val="440F6C97"/>
    <w:rsid w:val="44300615"/>
    <w:rsid w:val="44371929"/>
    <w:rsid w:val="443740AF"/>
    <w:rsid w:val="443C0A93"/>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EB5134"/>
    <w:rsid w:val="44F03F8F"/>
    <w:rsid w:val="44F14ECF"/>
    <w:rsid w:val="44F416F5"/>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152FE"/>
    <w:rsid w:val="45C661BC"/>
    <w:rsid w:val="45CA082F"/>
    <w:rsid w:val="45CD2126"/>
    <w:rsid w:val="45CF358A"/>
    <w:rsid w:val="45DD738A"/>
    <w:rsid w:val="45E372CD"/>
    <w:rsid w:val="45FB2D6A"/>
    <w:rsid w:val="460675A7"/>
    <w:rsid w:val="460C5979"/>
    <w:rsid w:val="46110AB3"/>
    <w:rsid w:val="46143B66"/>
    <w:rsid w:val="4615371C"/>
    <w:rsid w:val="46214325"/>
    <w:rsid w:val="4626398E"/>
    <w:rsid w:val="46315F44"/>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2F0207"/>
    <w:rsid w:val="473069AF"/>
    <w:rsid w:val="47356ECD"/>
    <w:rsid w:val="474A0EAF"/>
    <w:rsid w:val="474E50BE"/>
    <w:rsid w:val="47523FA0"/>
    <w:rsid w:val="476700F2"/>
    <w:rsid w:val="47696F9C"/>
    <w:rsid w:val="47714F1F"/>
    <w:rsid w:val="47725A17"/>
    <w:rsid w:val="47756A03"/>
    <w:rsid w:val="477D3243"/>
    <w:rsid w:val="478821A1"/>
    <w:rsid w:val="478A0BD9"/>
    <w:rsid w:val="478D3694"/>
    <w:rsid w:val="479128A9"/>
    <w:rsid w:val="47956820"/>
    <w:rsid w:val="47975EDC"/>
    <w:rsid w:val="47983B19"/>
    <w:rsid w:val="479D1DB0"/>
    <w:rsid w:val="479E2C8A"/>
    <w:rsid w:val="47A3609D"/>
    <w:rsid w:val="47C01792"/>
    <w:rsid w:val="47C57A48"/>
    <w:rsid w:val="47D511BD"/>
    <w:rsid w:val="47F51975"/>
    <w:rsid w:val="4808150F"/>
    <w:rsid w:val="480F51A8"/>
    <w:rsid w:val="481438CD"/>
    <w:rsid w:val="481604F9"/>
    <w:rsid w:val="481A006F"/>
    <w:rsid w:val="48256B1B"/>
    <w:rsid w:val="48282713"/>
    <w:rsid w:val="482A6E62"/>
    <w:rsid w:val="482F2437"/>
    <w:rsid w:val="4840075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11BEB"/>
    <w:rsid w:val="48C354EC"/>
    <w:rsid w:val="48CF1A39"/>
    <w:rsid w:val="48CF5E84"/>
    <w:rsid w:val="48D429DD"/>
    <w:rsid w:val="48E01C77"/>
    <w:rsid w:val="48E22285"/>
    <w:rsid w:val="48E50D90"/>
    <w:rsid w:val="48EB0B49"/>
    <w:rsid w:val="48EB0D16"/>
    <w:rsid w:val="48FA15CC"/>
    <w:rsid w:val="48FF0DD1"/>
    <w:rsid w:val="490F071A"/>
    <w:rsid w:val="491B63DF"/>
    <w:rsid w:val="491D63E9"/>
    <w:rsid w:val="49247EB1"/>
    <w:rsid w:val="49302F0F"/>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1A2EA4"/>
    <w:rsid w:val="4A255046"/>
    <w:rsid w:val="4A2A2AD0"/>
    <w:rsid w:val="4A2E1525"/>
    <w:rsid w:val="4A5A756D"/>
    <w:rsid w:val="4A722B4C"/>
    <w:rsid w:val="4A785772"/>
    <w:rsid w:val="4A7A7433"/>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0852D7"/>
    <w:rsid w:val="4B174032"/>
    <w:rsid w:val="4B1C3A76"/>
    <w:rsid w:val="4B1D7328"/>
    <w:rsid w:val="4B250CF8"/>
    <w:rsid w:val="4B2873FD"/>
    <w:rsid w:val="4B3D4DE9"/>
    <w:rsid w:val="4B59618C"/>
    <w:rsid w:val="4B5B2C7E"/>
    <w:rsid w:val="4B652BDB"/>
    <w:rsid w:val="4B6A74A5"/>
    <w:rsid w:val="4B6F1D56"/>
    <w:rsid w:val="4B7C4100"/>
    <w:rsid w:val="4B830F9B"/>
    <w:rsid w:val="4B8F2DD0"/>
    <w:rsid w:val="4B9B06E8"/>
    <w:rsid w:val="4B9B0C47"/>
    <w:rsid w:val="4B9D4011"/>
    <w:rsid w:val="4BA34CD3"/>
    <w:rsid w:val="4BB056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B3057"/>
    <w:rsid w:val="4CB531CC"/>
    <w:rsid w:val="4CB80C32"/>
    <w:rsid w:val="4CB96B0F"/>
    <w:rsid w:val="4CBD582C"/>
    <w:rsid w:val="4CC21369"/>
    <w:rsid w:val="4CD1735E"/>
    <w:rsid w:val="4CDF165F"/>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9A37B9"/>
    <w:rsid w:val="4DAE4B1E"/>
    <w:rsid w:val="4DAF14C5"/>
    <w:rsid w:val="4DB9067A"/>
    <w:rsid w:val="4DC605B6"/>
    <w:rsid w:val="4DD732D2"/>
    <w:rsid w:val="4DEC0985"/>
    <w:rsid w:val="4E000105"/>
    <w:rsid w:val="4E0538A3"/>
    <w:rsid w:val="4E0E6818"/>
    <w:rsid w:val="4E27683A"/>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B35A3D"/>
    <w:rsid w:val="4EB923F3"/>
    <w:rsid w:val="4EB93137"/>
    <w:rsid w:val="4ECD2AFD"/>
    <w:rsid w:val="4EDB58B2"/>
    <w:rsid w:val="4EE925CE"/>
    <w:rsid w:val="4EEB1A94"/>
    <w:rsid w:val="4EEF2E30"/>
    <w:rsid w:val="4EF24828"/>
    <w:rsid w:val="4EFE7F59"/>
    <w:rsid w:val="4F0557AF"/>
    <w:rsid w:val="4F285975"/>
    <w:rsid w:val="4F2A1A96"/>
    <w:rsid w:val="4F2A7BF3"/>
    <w:rsid w:val="4F2E2624"/>
    <w:rsid w:val="4F324168"/>
    <w:rsid w:val="4F396A5A"/>
    <w:rsid w:val="4F4E1077"/>
    <w:rsid w:val="4F546156"/>
    <w:rsid w:val="4F5B6F39"/>
    <w:rsid w:val="4F621F24"/>
    <w:rsid w:val="4F64780B"/>
    <w:rsid w:val="4F806226"/>
    <w:rsid w:val="4F844A99"/>
    <w:rsid w:val="4F94662C"/>
    <w:rsid w:val="4FAB774E"/>
    <w:rsid w:val="4FB00163"/>
    <w:rsid w:val="4FB208E7"/>
    <w:rsid w:val="4FB47CBB"/>
    <w:rsid w:val="4FE30332"/>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7F7D9D"/>
    <w:rsid w:val="508E3B94"/>
    <w:rsid w:val="508E4492"/>
    <w:rsid w:val="5090223F"/>
    <w:rsid w:val="50924591"/>
    <w:rsid w:val="50943125"/>
    <w:rsid w:val="50A578DE"/>
    <w:rsid w:val="50A649F5"/>
    <w:rsid w:val="50AB5EB6"/>
    <w:rsid w:val="50AD494C"/>
    <w:rsid w:val="50AE6FE2"/>
    <w:rsid w:val="50B16618"/>
    <w:rsid w:val="50B52FB2"/>
    <w:rsid w:val="50BB6306"/>
    <w:rsid w:val="50C12EDC"/>
    <w:rsid w:val="50CD2E4B"/>
    <w:rsid w:val="50D8533B"/>
    <w:rsid w:val="50DA0A9E"/>
    <w:rsid w:val="50E11109"/>
    <w:rsid w:val="50ED21B8"/>
    <w:rsid w:val="50F31CB9"/>
    <w:rsid w:val="50F66F3D"/>
    <w:rsid w:val="50F8688B"/>
    <w:rsid w:val="50FC4E36"/>
    <w:rsid w:val="51002FFC"/>
    <w:rsid w:val="5105169B"/>
    <w:rsid w:val="51062881"/>
    <w:rsid w:val="510861B3"/>
    <w:rsid w:val="510956BD"/>
    <w:rsid w:val="5114696C"/>
    <w:rsid w:val="5121766A"/>
    <w:rsid w:val="51230220"/>
    <w:rsid w:val="51322F5E"/>
    <w:rsid w:val="513E7AC2"/>
    <w:rsid w:val="513F6CC6"/>
    <w:rsid w:val="5147175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C7110"/>
    <w:rsid w:val="519E116A"/>
    <w:rsid w:val="51A2793A"/>
    <w:rsid w:val="51AF3CDC"/>
    <w:rsid w:val="51B10868"/>
    <w:rsid w:val="51B71820"/>
    <w:rsid w:val="51BA0CB7"/>
    <w:rsid w:val="51CA4619"/>
    <w:rsid w:val="51D129CA"/>
    <w:rsid w:val="51D75253"/>
    <w:rsid w:val="51D93F8A"/>
    <w:rsid w:val="51E5046A"/>
    <w:rsid w:val="51F6353C"/>
    <w:rsid w:val="520D7B42"/>
    <w:rsid w:val="52175F05"/>
    <w:rsid w:val="52272B85"/>
    <w:rsid w:val="52284E31"/>
    <w:rsid w:val="522A5519"/>
    <w:rsid w:val="52351A7E"/>
    <w:rsid w:val="523E09B5"/>
    <w:rsid w:val="524053B4"/>
    <w:rsid w:val="52431715"/>
    <w:rsid w:val="52687B2A"/>
    <w:rsid w:val="526E0E82"/>
    <w:rsid w:val="527901C6"/>
    <w:rsid w:val="528241AF"/>
    <w:rsid w:val="52831D64"/>
    <w:rsid w:val="528F4A24"/>
    <w:rsid w:val="52944BB6"/>
    <w:rsid w:val="529C012B"/>
    <w:rsid w:val="52A24532"/>
    <w:rsid w:val="52A611A1"/>
    <w:rsid w:val="52A72906"/>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1F7431"/>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D0731"/>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3F3C4F"/>
    <w:rsid w:val="545750B7"/>
    <w:rsid w:val="545A1EBF"/>
    <w:rsid w:val="545E39AA"/>
    <w:rsid w:val="54602EAD"/>
    <w:rsid w:val="5460437B"/>
    <w:rsid w:val="54727478"/>
    <w:rsid w:val="54B06F11"/>
    <w:rsid w:val="54B56DF4"/>
    <w:rsid w:val="54B93943"/>
    <w:rsid w:val="54BE5578"/>
    <w:rsid w:val="54BF52B5"/>
    <w:rsid w:val="54D202CA"/>
    <w:rsid w:val="54D54E59"/>
    <w:rsid w:val="54DD41DB"/>
    <w:rsid w:val="54ED3D78"/>
    <w:rsid w:val="54F0664A"/>
    <w:rsid w:val="54F52BA3"/>
    <w:rsid w:val="54F54E04"/>
    <w:rsid w:val="54FD1E28"/>
    <w:rsid w:val="54FE31BD"/>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37CEB"/>
    <w:rsid w:val="55677DDA"/>
    <w:rsid w:val="556A71C0"/>
    <w:rsid w:val="55757FB9"/>
    <w:rsid w:val="55884237"/>
    <w:rsid w:val="558B1E31"/>
    <w:rsid w:val="558C7FAA"/>
    <w:rsid w:val="55900510"/>
    <w:rsid w:val="55947881"/>
    <w:rsid w:val="55A25EB7"/>
    <w:rsid w:val="55A82784"/>
    <w:rsid w:val="55A97512"/>
    <w:rsid w:val="55B524B9"/>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4BEB"/>
    <w:rsid w:val="56A55214"/>
    <w:rsid w:val="56A67978"/>
    <w:rsid w:val="56A76AA3"/>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2657E3"/>
    <w:rsid w:val="572A4818"/>
    <w:rsid w:val="5732705F"/>
    <w:rsid w:val="57351D6F"/>
    <w:rsid w:val="573B7F99"/>
    <w:rsid w:val="576476C1"/>
    <w:rsid w:val="576E1940"/>
    <w:rsid w:val="57756BF9"/>
    <w:rsid w:val="57770501"/>
    <w:rsid w:val="577B3337"/>
    <w:rsid w:val="577D4F28"/>
    <w:rsid w:val="578B1816"/>
    <w:rsid w:val="57A33734"/>
    <w:rsid w:val="57AB6ADD"/>
    <w:rsid w:val="57B7178E"/>
    <w:rsid w:val="57B76EED"/>
    <w:rsid w:val="57BD72A7"/>
    <w:rsid w:val="57BE5838"/>
    <w:rsid w:val="57BF764E"/>
    <w:rsid w:val="57C015D8"/>
    <w:rsid w:val="57CB35DF"/>
    <w:rsid w:val="57D82354"/>
    <w:rsid w:val="57F05993"/>
    <w:rsid w:val="57FC0156"/>
    <w:rsid w:val="57FC07D9"/>
    <w:rsid w:val="57FF6992"/>
    <w:rsid w:val="58036FF1"/>
    <w:rsid w:val="580F1B21"/>
    <w:rsid w:val="581B7E79"/>
    <w:rsid w:val="5837438C"/>
    <w:rsid w:val="58420FA1"/>
    <w:rsid w:val="58500F22"/>
    <w:rsid w:val="58587379"/>
    <w:rsid w:val="585D72B5"/>
    <w:rsid w:val="586D57A3"/>
    <w:rsid w:val="587917A0"/>
    <w:rsid w:val="587A4288"/>
    <w:rsid w:val="587B39E5"/>
    <w:rsid w:val="5880052B"/>
    <w:rsid w:val="588E3967"/>
    <w:rsid w:val="589E7444"/>
    <w:rsid w:val="58AD27D9"/>
    <w:rsid w:val="58B169A2"/>
    <w:rsid w:val="58B9636C"/>
    <w:rsid w:val="58C37133"/>
    <w:rsid w:val="58C93046"/>
    <w:rsid w:val="58D36BCB"/>
    <w:rsid w:val="58D8157C"/>
    <w:rsid w:val="58E11166"/>
    <w:rsid w:val="58E60CD3"/>
    <w:rsid w:val="58E6349C"/>
    <w:rsid w:val="58E83DEC"/>
    <w:rsid w:val="58EF63EE"/>
    <w:rsid w:val="590317F0"/>
    <w:rsid w:val="59075000"/>
    <w:rsid w:val="593559FD"/>
    <w:rsid w:val="593A4D15"/>
    <w:rsid w:val="594079B2"/>
    <w:rsid w:val="595B45EE"/>
    <w:rsid w:val="595C4A81"/>
    <w:rsid w:val="596A688E"/>
    <w:rsid w:val="59860400"/>
    <w:rsid w:val="5987482A"/>
    <w:rsid w:val="598A58C2"/>
    <w:rsid w:val="598C6F19"/>
    <w:rsid w:val="599C49A8"/>
    <w:rsid w:val="59A252D5"/>
    <w:rsid w:val="59A36725"/>
    <w:rsid w:val="59AD4E2E"/>
    <w:rsid w:val="59B14918"/>
    <w:rsid w:val="59B21BF9"/>
    <w:rsid w:val="59B37D53"/>
    <w:rsid w:val="59B80C41"/>
    <w:rsid w:val="59BB4EA3"/>
    <w:rsid w:val="59CF6340"/>
    <w:rsid w:val="59E85675"/>
    <w:rsid w:val="59E9525B"/>
    <w:rsid w:val="59F70BAF"/>
    <w:rsid w:val="5A0627A6"/>
    <w:rsid w:val="5A297D0D"/>
    <w:rsid w:val="5A31589A"/>
    <w:rsid w:val="5A3C0F08"/>
    <w:rsid w:val="5A3E5B83"/>
    <w:rsid w:val="5A50588C"/>
    <w:rsid w:val="5A5663A3"/>
    <w:rsid w:val="5A5706C7"/>
    <w:rsid w:val="5A571746"/>
    <w:rsid w:val="5A594793"/>
    <w:rsid w:val="5A5B6E89"/>
    <w:rsid w:val="5A6253E3"/>
    <w:rsid w:val="5A641DE9"/>
    <w:rsid w:val="5A687FE8"/>
    <w:rsid w:val="5A746DF6"/>
    <w:rsid w:val="5A8E6670"/>
    <w:rsid w:val="5A912613"/>
    <w:rsid w:val="5A9245E9"/>
    <w:rsid w:val="5A953D41"/>
    <w:rsid w:val="5AA12940"/>
    <w:rsid w:val="5AA75D85"/>
    <w:rsid w:val="5AB422AB"/>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04310"/>
    <w:rsid w:val="5BB20B74"/>
    <w:rsid w:val="5BB33170"/>
    <w:rsid w:val="5BC677D8"/>
    <w:rsid w:val="5BD0669E"/>
    <w:rsid w:val="5BEB0120"/>
    <w:rsid w:val="5BEC175C"/>
    <w:rsid w:val="5BEF3E44"/>
    <w:rsid w:val="5BEF69FF"/>
    <w:rsid w:val="5C053E62"/>
    <w:rsid w:val="5C064BA0"/>
    <w:rsid w:val="5C07067E"/>
    <w:rsid w:val="5C075BB6"/>
    <w:rsid w:val="5C097C4E"/>
    <w:rsid w:val="5C1A3A93"/>
    <w:rsid w:val="5C1C3059"/>
    <w:rsid w:val="5C235386"/>
    <w:rsid w:val="5C2A4E9F"/>
    <w:rsid w:val="5C3138F7"/>
    <w:rsid w:val="5C37782E"/>
    <w:rsid w:val="5C3B6CFC"/>
    <w:rsid w:val="5C4735D5"/>
    <w:rsid w:val="5C4C2CF4"/>
    <w:rsid w:val="5C5E6BCC"/>
    <w:rsid w:val="5C6B1600"/>
    <w:rsid w:val="5C6E26BF"/>
    <w:rsid w:val="5C706511"/>
    <w:rsid w:val="5C7255FC"/>
    <w:rsid w:val="5C7D70D1"/>
    <w:rsid w:val="5C8542A8"/>
    <w:rsid w:val="5C8A64E1"/>
    <w:rsid w:val="5C93251D"/>
    <w:rsid w:val="5CA6294E"/>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F0BDF"/>
    <w:rsid w:val="5D5A5A4E"/>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33A5E"/>
    <w:rsid w:val="5DB765B6"/>
    <w:rsid w:val="5DC848B4"/>
    <w:rsid w:val="5DD14397"/>
    <w:rsid w:val="5DD3123F"/>
    <w:rsid w:val="5DD45E00"/>
    <w:rsid w:val="5DD564E5"/>
    <w:rsid w:val="5DD71C7A"/>
    <w:rsid w:val="5DD734EC"/>
    <w:rsid w:val="5DDA4F5F"/>
    <w:rsid w:val="5DDF6E6E"/>
    <w:rsid w:val="5DEC05A1"/>
    <w:rsid w:val="5DEE0433"/>
    <w:rsid w:val="5DF61366"/>
    <w:rsid w:val="5DFD51DB"/>
    <w:rsid w:val="5E075745"/>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03923"/>
    <w:rsid w:val="5E6A5399"/>
    <w:rsid w:val="5E71373F"/>
    <w:rsid w:val="5E717191"/>
    <w:rsid w:val="5E7435D2"/>
    <w:rsid w:val="5E830708"/>
    <w:rsid w:val="5E831398"/>
    <w:rsid w:val="5E85633A"/>
    <w:rsid w:val="5E921A45"/>
    <w:rsid w:val="5E975993"/>
    <w:rsid w:val="5E9C615A"/>
    <w:rsid w:val="5EA75DFF"/>
    <w:rsid w:val="5EB51FDE"/>
    <w:rsid w:val="5EBA4472"/>
    <w:rsid w:val="5EC3227D"/>
    <w:rsid w:val="5EC504C9"/>
    <w:rsid w:val="5EC93320"/>
    <w:rsid w:val="5ECA3D37"/>
    <w:rsid w:val="5EE153F8"/>
    <w:rsid w:val="5EE836CB"/>
    <w:rsid w:val="5EEA322F"/>
    <w:rsid w:val="5EEC3D5B"/>
    <w:rsid w:val="5EED7893"/>
    <w:rsid w:val="5EF368BE"/>
    <w:rsid w:val="5EF427A1"/>
    <w:rsid w:val="5EFB2125"/>
    <w:rsid w:val="5EFB6F0A"/>
    <w:rsid w:val="5F0A3A61"/>
    <w:rsid w:val="5F114A3D"/>
    <w:rsid w:val="5F3370DF"/>
    <w:rsid w:val="5F683B6E"/>
    <w:rsid w:val="5F684490"/>
    <w:rsid w:val="5F697EE8"/>
    <w:rsid w:val="5F6D06D6"/>
    <w:rsid w:val="5F6E768C"/>
    <w:rsid w:val="5F875C0C"/>
    <w:rsid w:val="5F8A0701"/>
    <w:rsid w:val="5F8F0B9E"/>
    <w:rsid w:val="5F8F267A"/>
    <w:rsid w:val="5F941274"/>
    <w:rsid w:val="5F99518A"/>
    <w:rsid w:val="5F9A540B"/>
    <w:rsid w:val="5FAB7F08"/>
    <w:rsid w:val="5FB7185B"/>
    <w:rsid w:val="5FB94C48"/>
    <w:rsid w:val="5FBE576C"/>
    <w:rsid w:val="5FDE327E"/>
    <w:rsid w:val="5FE11DB4"/>
    <w:rsid w:val="5FEB4E90"/>
    <w:rsid w:val="5FF06848"/>
    <w:rsid w:val="5FF37587"/>
    <w:rsid w:val="5FF85D1E"/>
    <w:rsid w:val="5FFE57B7"/>
    <w:rsid w:val="60060CD5"/>
    <w:rsid w:val="60085AA3"/>
    <w:rsid w:val="600E362B"/>
    <w:rsid w:val="60183392"/>
    <w:rsid w:val="601A4CB1"/>
    <w:rsid w:val="601B56CB"/>
    <w:rsid w:val="60237FFC"/>
    <w:rsid w:val="602C236D"/>
    <w:rsid w:val="6030460F"/>
    <w:rsid w:val="603114E4"/>
    <w:rsid w:val="603967D7"/>
    <w:rsid w:val="603D3325"/>
    <w:rsid w:val="604040A8"/>
    <w:rsid w:val="60470CE3"/>
    <w:rsid w:val="604775D7"/>
    <w:rsid w:val="60485D19"/>
    <w:rsid w:val="604D29BA"/>
    <w:rsid w:val="606711B4"/>
    <w:rsid w:val="60673C40"/>
    <w:rsid w:val="606A52D4"/>
    <w:rsid w:val="606C5678"/>
    <w:rsid w:val="60786184"/>
    <w:rsid w:val="607A0897"/>
    <w:rsid w:val="607C3753"/>
    <w:rsid w:val="607F6EAB"/>
    <w:rsid w:val="60824F37"/>
    <w:rsid w:val="608D1D4E"/>
    <w:rsid w:val="608D5C53"/>
    <w:rsid w:val="60911FEF"/>
    <w:rsid w:val="60923D36"/>
    <w:rsid w:val="6092569C"/>
    <w:rsid w:val="609D0F5A"/>
    <w:rsid w:val="60AC72CC"/>
    <w:rsid w:val="60AD0357"/>
    <w:rsid w:val="60B004BE"/>
    <w:rsid w:val="60B6381B"/>
    <w:rsid w:val="60BA604C"/>
    <w:rsid w:val="60BE348E"/>
    <w:rsid w:val="60C302BA"/>
    <w:rsid w:val="60C30855"/>
    <w:rsid w:val="60C338B1"/>
    <w:rsid w:val="60D4742F"/>
    <w:rsid w:val="60D67C80"/>
    <w:rsid w:val="60D95276"/>
    <w:rsid w:val="60E06DEB"/>
    <w:rsid w:val="60E51841"/>
    <w:rsid w:val="61110088"/>
    <w:rsid w:val="611647A0"/>
    <w:rsid w:val="611D54C0"/>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263C10"/>
    <w:rsid w:val="622E2025"/>
    <w:rsid w:val="62344A89"/>
    <w:rsid w:val="624263A2"/>
    <w:rsid w:val="625272C3"/>
    <w:rsid w:val="6254750A"/>
    <w:rsid w:val="626A1B4F"/>
    <w:rsid w:val="62715337"/>
    <w:rsid w:val="6280204D"/>
    <w:rsid w:val="62875636"/>
    <w:rsid w:val="6290769B"/>
    <w:rsid w:val="62943D08"/>
    <w:rsid w:val="629718F1"/>
    <w:rsid w:val="62A05735"/>
    <w:rsid w:val="62A411F8"/>
    <w:rsid w:val="62A81A26"/>
    <w:rsid w:val="62B0109F"/>
    <w:rsid w:val="62BA7A46"/>
    <w:rsid w:val="62C376AC"/>
    <w:rsid w:val="62CE13CB"/>
    <w:rsid w:val="62D2197B"/>
    <w:rsid w:val="62DB028F"/>
    <w:rsid w:val="62EE4623"/>
    <w:rsid w:val="62F214BD"/>
    <w:rsid w:val="62F6011A"/>
    <w:rsid w:val="62FD2BA9"/>
    <w:rsid w:val="6327422B"/>
    <w:rsid w:val="6328597C"/>
    <w:rsid w:val="633B249F"/>
    <w:rsid w:val="633D1842"/>
    <w:rsid w:val="635123F0"/>
    <w:rsid w:val="63552D76"/>
    <w:rsid w:val="6359778B"/>
    <w:rsid w:val="635B63E3"/>
    <w:rsid w:val="63677698"/>
    <w:rsid w:val="63771D13"/>
    <w:rsid w:val="638C3395"/>
    <w:rsid w:val="63B37325"/>
    <w:rsid w:val="63B80233"/>
    <w:rsid w:val="63B82D87"/>
    <w:rsid w:val="63BA3154"/>
    <w:rsid w:val="63C509F9"/>
    <w:rsid w:val="63CA2E8B"/>
    <w:rsid w:val="63CF097D"/>
    <w:rsid w:val="63D4153E"/>
    <w:rsid w:val="63DA0FA3"/>
    <w:rsid w:val="63DC7755"/>
    <w:rsid w:val="63E43D21"/>
    <w:rsid w:val="63E774B3"/>
    <w:rsid w:val="63F41BBB"/>
    <w:rsid w:val="63F47D2A"/>
    <w:rsid w:val="63F6335E"/>
    <w:rsid w:val="63FE2D33"/>
    <w:rsid w:val="64046427"/>
    <w:rsid w:val="640B5788"/>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41876"/>
    <w:rsid w:val="649B1AC2"/>
    <w:rsid w:val="649B4C1C"/>
    <w:rsid w:val="649D1D31"/>
    <w:rsid w:val="64A70E62"/>
    <w:rsid w:val="64A7467B"/>
    <w:rsid w:val="64B53322"/>
    <w:rsid w:val="64C41B57"/>
    <w:rsid w:val="64C61AF8"/>
    <w:rsid w:val="64C86505"/>
    <w:rsid w:val="64E04EF2"/>
    <w:rsid w:val="64E65F95"/>
    <w:rsid w:val="64EB5728"/>
    <w:rsid w:val="64F92488"/>
    <w:rsid w:val="64FA211B"/>
    <w:rsid w:val="64FB4412"/>
    <w:rsid w:val="64FE700F"/>
    <w:rsid w:val="6500327F"/>
    <w:rsid w:val="6503698F"/>
    <w:rsid w:val="6506609B"/>
    <w:rsid w:val="65083216"/>
    <w:rsid w:val="650A57D3"/>
    <w:rsid w:val="65460728"/>
    <w:rsid w:val="654835A8"/>
    <w:rsid w:val="654C7056"/>
    <w:rsid w:val="65514C2C"/>
    <w:rsid w:val="65733E15"/>
    <w:rsid w:val="65822810"/>
    <w:rsid w:val="65870C45"/>
    <w:rsid w:val="658F6B54"/>
    <w:rsid w:val="659705FF"/>
    <w:rsid w:val="659C60A2"/>
    <w:rsid w:val="65A47504"/>
    <w:rsid w:val="65AA6346"/>
    <w:rsid w:val="65B01B69"/>
    <w:rsid w:val="65B12341"/>
    <w:rsid w:val="65B56C47"/>
    <w:rsid w:val="65B7794D"/>
    <w:rsid w:val="65B8262E"/>
    <w:rsid w:val="65BC15EE"/>
    <w:rsid w:val="65D23D59"/>
    <w:rsid w:val="65D4773F"/>
    <w:rsid w:val="65DC5939"/>
    <w:rsid w:val="65DC7985"/>
    <w:rsid w:val="65F14641"/>
    <w:rsid w:val="65F430BA"/>
    <w:rsid w:val="65F5655C"/>
    <w:rsid w:val="65F64F18"/>
    <w:rsid w:val="65FF118E"/>
    <w:rsid w:val="66052F43"/>
    <w:rsid w:val="66065483"/>
    <w:rsid w:val="6609487E"/>
    <w:rsid w:val="661D25CE"/>
    <w:rsid w:val="66206CF2"/>
    <w:rsid w:val="66265846"/>
    <w:rsid w:val="66287C9C"/>
    <w:rsid w:val="662E4097"/>
    <w:rsid w:val="663A5B0B"/>
    <w:rsid w:val="664805B8"/>
    <w:rsid w:val="665572E9"/>
    <w:rsid w:val="665B14BD"/>
    <w:rsid w:val="665B55EA"/>
    <w:rsid w:val="66600F11"/>
    <w:rsid w:val="66641D58"/>
    <w:rsid w:val="66655F85"/>
    <w:rsid w:val="667C7AEC"/>
    <w:rsid w:val="667F71BA"/>
    <w:rsid w:val="66811792"/>
    <w:rsid w:val="66863A0F"/>
    <w:rsid w:val="66984358"/>
    <w:rsid w:val="669B7C76"/>
    <w:rsid w:val="66A200F8"/>
    <w:rsid w:val="66A205F5"/>
    <w:rsid w:val="66A30EC2"/>
    <w:rsid w:val="66AA4BA8"/>
    <w:rsid w:val="66AC5E7E"/>
    <w:rsid w:val="66B51E22"/>
    <w:rsid w:val="66C00300"/>
    <w:rsid w:val="66C56058"/>
    <w:rsid w:val="66C955BD"/>
    <w:rsid w:val="66CF3182"/>
    <w:rsid w:val="66D60CC4"/>
    <w:rsid w:val="66D97420"/>
    <w:rsid w:val="66DC317D"/>
    <w:rsid w:val="66DD5461"/>
    <w:rsid w:val="66E10E78"/>
    <w:rsid w:val="66E617C5"/>
    <w:rsid w:val="66E910C9"/>
    <w:rsid w:val="670C6D27"/>
    <w:rsid w:val="670D67CE"/>
    <w:rsid w:val="67105BAB"/>
    <w:rsid w:val="67150D42"/>
    <w:rsid w:val="671B1631"/>
    <w:rsid w:val="672C45D9"/>
    <w:rsid w:val="67302DC3"/>
    <w:rsid w:val="67316C6B"/>
    <w:rsid w:val="6734198F"/>
    <w:rsid w:val="674318B2"/>
    <w:rsid w:val="674D4B22"/>
    <w:rsid w:val="67570422"/>
    <w:rsid w:val="675D31B4"/>
    <w:rsid w:val="67611575"/>
    <w:rsid w:val="676D2F4B"/>
    <w:rsid w:val="676E7C74"/>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712405"/>
    <w:rsid w:val="69796AD5"/>
    <w:rsid w:val="69850877"/>
    <w:rsid w:val="698C13C5"/>
    <w:rsid w:val="69C12919"/>
    <w:rsid w:val="69D737C7"/>
    <w:rsid w:val="69EB1E1E"/>
    <w:rsid w:val="69F0745A"/>
    <w:rsid w:val="6A0D20F2"/>
    <w:rsid w:val="6A0D33D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E4699C"/>
    <w:rsid w:val="6AED1BE8"/>
    <w:rsid w:val="6AF00853"/>
    <w:rsid w:val="6AF01B8D"/>
    <w:rsid w:val="6AF317C6"/>
    <w:rsid w:val="6B004C6B"/>
    <w:rsid w:val="6B014632"/>
    <w:rsid w:val="6B0722BD"/>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6F79AA"/>
    <w:rsid w:val="6B730045"/>
    <w:rsid w:val="6B736A2E"/>
    <w:rsid w:val="6B762264"/>
    <w:rsid w:val="6B7964E9"/>
    <w:rsid w:val="6B8642C7"/>
    <w:rsid w:val="6B874340"/>
    <w:rsid w:val="6B884219"/>
    <w:rsid w:val="6B90781F"/>
    <w:rsid w:val="6BA6663C"/>
    <w:rsid w:val="6BA9194F"/>
    <w:rsid w:val="6BB07973"/>
    <w:rsid w:val="6BCA7437"/>
    <w:rsid w:val="6BE71622"/>
    <w:rsid w:val="6BE727F5"/>
    <w:rsid w:val="6C001608"/>
    <w:rsid w:val="6C08064C"/>
    <w:rsid w:val="6C0858B3"/>
    <w:rsid w:val="6C132D21"/>
    <w:rsid w:val="6C14347F"/>
    <w:rsid w:val="6C240DF3"/>
    <w:rsid w:val="6C3977A7"/>
    <w:rsid w:val="6C45610F"/>
    <w:rsid w:val="6C59472D"/>
    <w:rsid w:val="6C5A4564"/>
    <w:rsid w:val="6C603744"/>
    <w:rsid w:val="6C635845"/>
    <w:rsid w:val="6C637CCF"/>
    <w:rsid w:val="6C6B4F91"/>
    <w:rsid w:val="6C7802EB"/>
    <w:rsid w:val="6C78194F"/>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0057"/>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DE1D98"/>
    <w:rsid w:val="6DED1766"/>
    <w:rsid w:val="6DF43BD4"/>
    <w:rsid w:val="6E0E1FAB"/>
    <w:rsid w:val="6E2143FB"/>
    <w:rsid w:val="6E295363"/>
    <w:rsid w:val="6E317378"/>
    <w:rsid w:val="6E3A4724"/>
    <w:rsid w:val="6E3E5591"/>
    <w:rsid w:val="6E407C99"/>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9D4A0D"/>
    <w:rsid w:val="6EA80CC5"/>
    <w:rsid w:val="6EAD667E"/>
    <w:rsid w:val="6EB169D3"/>
    <w:rsid w:val="6EB21539"/>
    <w:rsid w:val="6EB829B1"/>
    <w:rsid w:val="6EB978A9"/>
    <w:rsid w:val="6EC7210B"/>
    <w:rsid w:val="6ECC3A24"/>
    <w:rsid w:val="6ED86D3E"/>
    <w:rsid w:val="6EE9744F"/>
    <w:rsid w:val="6EEC3F7C"/>
    <w:rsid w:val="6EF3602C"/>
    <w:rsid w:val="6EF65A2C"/>
    <w:rsid w:val="6EFE1485"/>
    <w:rsid w:val="6F0247B3"/>
    <w:rsid w:val="6F031F8E"/>
    <w:rsid w:val="6F09008D"/>
    <w:rsid w:val="6F0C735C"/>
    <w:rsid w:val="6F0D382C"/>
    <w:rsid w:val="6F2632E8"/>
    <w:rsid w:val="6F30363A"/>
    <w:rsid w:val="6F3316E5"/>
    <w:rsid w:val="6F3F40F9"/>
    <w:rsid w:val="6F424B2F"/>
    <w:rsid w:val="6F5C2C41"/>
    <w:rsid w:val="6F5E0205"/>
    <w:rsid w:val="6F632569"/>
    <w:rsid w:val="6F635644"/>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216162"/>
    <w:rsid w:val="70291C03"/>
    <w:rsid w:val="702B6F43"/>
    <w:rsid w:val="7032079E"/>
    <w:rsid w:val="7036146F"/>
    <w:rsid w:val="703C186A"/>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30CDF"/>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F00B2"/>
    <w:rsid w:val="71702748"/>
    <w:rsid w:val="717206C1"/>
    <w:rsid w:val="71867894"/>
    <w:rsid w:val="718E3AA9"/>
    <w:rsid w:val="71920F6D"/>
    <w:rsid w:val="7196106A"/>
    <w:rsid w:val="719E0160"/>
    <w:rsid w:val="719F7A78"/>
    <w:rsid w:val="71A03079"/>
    <w:rsid w:val="71AD22C0"/>
    <w:rsid w:val="71B623F6"/>
    <w:rsid w:val="71B84778"/>
    <w:rsid w:val="71C17B7E"/>
    <w:rsid w:val="71C7540C"/>
    <w:rsid w:val="71DA3F10"/>
    <w:rsid w:val="71E857A5"/>
    <w:rsid w:val="71F64A63"/>
    <w:rsid w:val="71F870B8"/>
    <w:rsid w:val="71F9130C"/>
    <w:rsid w:val="72021233"/>
    <w:rsid w:val="720B2A1D"/>
    <w:rsid w:val="72197AB8"/>
    <w:rsid w:val="721B4039"/>
    <w:rsid w:val="722D6444"/>
    <w:rsid w:val="7231773E"/>
    <w:rsid w:val="7234129A"/>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593F50"/>
    <w:rsid w:val="7363274A"/>
    <w:rsid w:val="73691A4A"/>
    <w:rsid w:val="7371152B"/>
    <w:rsid w:val="73777B4D"/>
    <w:rsid w:val="737920CD"/>
    <w:rsid w:val="738A6895"/>
    <w:rsid w:val="738D1AFA"/>
    <w:rsid w:val="73917325"/>
    <w:rsid w:val="7395427D"/>
    <w:rsid w:val="73AE5485"/>
    <w:rsid w:val="73B1087F"/>
    <w:rsid w:val="73BC7089"/>
    <w:rsid w:val="73BE7067"/>
    <w:rsid w:val="73C63508"/>
    <w:rsid w:val="73E406FD"/>
    <w:rsid w:val="73E52294"/>
    <w:rsid w:val="73EC5464"/>
    <w:rsid w:val="73FF2D64"/>
    <w:rsid w:val="74137154"/>
    <w:rsid w:val="741819AA"/>
    <w:rsid w:val="7421310D"/>
    <w:rsid w:val="74257F79"/>
    <w:rsid w:val="74266C6A"/>
    <w:rsid w:val="74273820"/>
    <w:rsid w:val="7427471C"/>
    <w:rsid w:val="74281B3F"/>
    <w:rsid w:val="742D7CD7"/>
    <w:rsid w:val="74355B0B"/>
    <w:rsid w:val="743C33B0"/>
    <w:rsid w:val="743C7157"/>
    <w:rsid w:val="743C71DA"/>
    <w:rsid w:val="74405F97"/>
    <w:rsid w:val="74416F54"/>
    <w:rsid w:val="744B354F"/>
    <w:rsid w:val="7450294E"/>
    <w:rsid w:val="74510121"/>
    <w:rsid w:val="74543139"/>
    <w:rsid w:val="74672BF8"/>
    <w:rsid w:val="746B732F"/>
    <w:rsid w:val="746E18CB"/>
    <w:rsid w:val="746F3904"/>
    <w:rsid w:val="748D52FA"/>
    <w:rsid w:val="74993216"/>
    <w:rsid w:val="74A25132"/>
    <w:rsid w:val="74B44784"/>
    <w:rsid w:val="74B808BF"/>
    <w:rsid w:val="74C03187"/>
    <w:rsid w:val="74D033D9"/>
    <w:rsid w:val="74E427B4"/>
    <w:rsid w:val="74E4756E"/>
    <w:rsid w:val="74ED19FF"/>
    <w:rsid w:val="75084E8F"/>
    <w:rsid w:val="7509261E"/>
    <w:rsid w:val="75202656"/>
    <w:rsid w:val="752231CE"/>
    <w:rsid w:val="75276DE2"/>
    <w:rsid w:val="753F3D3B"/>
    <w:rsid w:val="754723D0"/>
    <w:rsid w:val="75482D09"/>
    <w:rsid w:val="75633812"/>
    <w:rsid w:val="756F29D2"/>
    <w:rsid w:val="75752B04"/>
    <w:rsid w:val="758849E0"/>
    <w:rsid w:val="758910BB"/>
    <w:rsid w:val="75920C70"/>
    <w:rsid w:val="75935C72"/>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35FE9"/>
    <w:rsid w:val="760A4340"/>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7F0863"/>
    <w:rsid w:val="768C454B"/>
    <w:rsid w:val="7692667A"/>
    <w:rsid w:val="76982273"/>
    <w:rsid w:val="769A7352"/>
    <w:rsid w:val="769C4619"/>
    <w:rsid w:val="76A177B8"/>
    <w:rsid w:val="76A766BF"/>
    <w:rsid w:val="76AD2761"/>
    <w:rsid w:val="76B64E53"/>
    <w:rsid w:val="76B8001A"/>
    <w:rsid w:val="76B81599"/>
    <w:rsid w:val="76B97D11"/>
    <w:rsid w:val="76BB2F21"/>
    <w:rsid w:val="76BC314A"/>
    <w:rsid w:val="76C12918"/>
    <w:rsid w:val="76CC16BA"/>
    <w:rsid w:val="76CF29D3"/>
    <w:rsid w:val="76DB5946"/>
    <w:rsid w:val="76E91124"/>
    <w:rsid w:val="76EB0D11"/>
    <w:rsid w:val="76EC51FD"/>
    <w:rsid w:val="76F410B8"/>
    <w:rsid w:val="76F70779"/>
    <w:rsid w:val="76F71C30"/>
    <w:rsid w:val="77001F24"/>
    <w:rsid w:val="770A6C33"/>
    <w:rsid w:val="771A04D1"/>
    <w:rsid w:val="771B67DF"/>
    <w:rsid w:val="771E64D7"/>
    <w:rsid w:val="77240552"/>
    <w:rsid w:val="77272CAB"/>
    <w:rsid w:val="772B4341"/>
    <w:rsid w:val="7731599F"/>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DD6A27"/>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8E1C96"/>
    <w:rsid w:val="78A90B04"/>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17A4D"/>
    <w:rsid w:val="79233426"/>
    <w:rsid w:val="79260F03"/>
    <w:rsid w:val="792B77BF"/>
    <w:rsid w:val="792E73F2"/>
    <w:rsid w:val="79395A92"/>
    <w:rsid w:val="793C6522"/>
    <w:rsid w:val="794008FB"/>
    <w:rsid w:val="79412D41"/>
    <w:rsid w:val="79413CC6"/>
    <w:rsid w:val="794708D9"/>
    <w:rsid w:val="794B21A1"/>
    <w:rsid w:val="7964574A"/>
    <w:rsid w:val="79804706"/>
    <w:rsid w:val="79835FC2"/>
    <w:rsid w:val="79840597"/>
    <w:rsid w:val="79941CF2"/>
    <w:rsid w:val="79973382"/>
    <w:rsid w:val="79B4353E"/>
    <w:rsid w:val="79B82F2E"/>
    <w:rsid w:val="79C07B43"/>
    <w:rsid w:val="79C832AC"/>
    <w:rsid w:val="79C97A92"/>
    <w:rsid w:val="79D33056"/>
    <w:rsid w:val="79D715DF"/>
    <w:rsid w:val="79D85AB0"/>
    <w:rsid w:val="79E16F93"/>
    <w:rsid w:val="79E701E5"/>
    <w:rsid w:val="79EC0256"/>
    <w:rsid w:val="79F60153"/>
    <w:rsid w:val="79FA15B1"/>
    <w:rsid w:val="79FB6E2C"/>
    <w:rsid w:val="79FF7B91"/>
    <w:rsid w:val="7A165123"/>
    <w:rsid w:val="7A36322F"/>
    <w:rsid w:val="7A431242"/>
    <w:rsid w:val="7A444657"/>
    <w:rsid w:val="7A4B3D21"/>
    <w:rsid w:val="7A4C2D60"/>
    <w:rsid w:val="7A5E0869"/>
    <w:rsid w:val="7A69432B"/>
    <w:rsid w:val="7A6E4BF5"/>
    <w:rsid w:val="7A6E5088"/>
    <w:rsid w:val="7A7F4A1E"/>
    <w:rsid w:val="7A8246BA"/>
    <w:rsid w:val="7A851D5D"/>
    <w:rsid w:val="7A8A2267"/>
    <w:rsid w:val="7AA07F3B"/>
    <w:rsid w:val="7AAF4757"/>
    <w:rsid w:val="7AB53126"/>
    <w:rsid w:val="7AB76FE8"/>
    <w:rsid w:val="7AB8122B"/>
    <w:rsid w:val="7ACB4CB6"/>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62E01"/>
    <w:rsid w:val="7BEC2711"/>
    <w:rsid w:val="7BF55850"/>
    <w:rsid w:val="7BF56BC2"/>
    <w:rsid w:val="7BF62E8D"/>
    <w:rsid w:val="7C0D7046"/>
    <w:rsid w:val="7C1054B7"/>
    <w:rsid w:val="7C131E53"/>
    <w:rsid w:val="7C261982"/>
    <w:rsid w:val="7C26369C"/>
    <w:rsid w:val="7C2A465C"/>
    <w:rsid w:val="7C2E06D8"/>
    <w:rsid w:val="7C305879"/>
    <w:rsid w:val="7C3420DA"/>
    <w:rsid w:val="7C34521A"/>
    <w:rsid w:val="7C4067F6"/>
    <w:rsid w:val="7C417F31"/>
    <w:rsid w:val="7C4674BA"/>
    <w:rsid w:val="7C4A2BD1"/>
    <w:rsid w:val="7C4C0053"/>
    <w:rsid w:val="7C576C70"/>
    <w:rsid w:val="7C6E4349"/>
    <w:rsid w:val="7C77043F"/>
    <w:rsid w:val="7C8A7CDC"/>
    <w:rsid w:val="7C9B5288"/>
    <w:rsid w:val="7C9E5A24"/>
    <w:rsid w:val="7CA745A1"/>
    <w:rsid w:val="7CAF4DCB"/>
    <w:rsid w:val="7CB4006B"/>
    <w:rsid w:val="7CB93ABB"/>
    <w:rsid w:val="7CC475DB"/>
    <w:rsid w:val="7CCA4C41"/>
    <w:rsid w:val="7CD36BD6"/>
    <w:rsid w:val="7CD76E03"/>
    <w:rsid w:val="7CDE3831"/>
    <w:rsid w:val="7CE05980"/>
    <w:rsid w:val="7CE656F0"/>
    <w:rsid w:val="7CED34FF"/>
    <w:rsid w:val="7CEE5458"/>
    <w:rsid w:val="7CF26588"/>
    <w:rsid w:val="7CF565D7"/>
    <w:rsid w:val="7CF7605D"/>
    <w:rsid w:val="7CF867A7"/>
    <w:rsid w:val="7CFA3A46"/>
    <w:rsid w:val="7CFC78A1"/>
    <w:rsid w:val="7D0F5720"/>
    <w:rsid w:val="7D1132E3"/>
    <w:rsid w:val="7D186F3E"/>
    <w:rsid w:val="7D24652E"/>
    <w:rsid w:val="7D2561FD"/>
    <w:rsid w:val="7D2E198F"/>
    <w:rsid w:val="7D342E03"/>
    <w:rsid w:val="7D355821"/>
    <w:rsid w:val="7D3B3737"/>
    <w:rsid w:val="7D3D73AF"/>
    <w:rsid w:val="7D3F6E5D"/>
    <w:rsid w:val="7D5052A6"/>
    <w:rsid w:val="7D514310"/>
    <w:rsid w:val="7D5B27C9"/>
    <w:rsid w:val="7D62117D"/>
    <w:rsid w:val="7D6B7F02"/>
    <w:rsid w:val="7D834A16"/>
    <w:rsid w:val="7D9B14E6"/>
    <w:rsid w:val="7D9D0A97"/>
    <w:rsid w:val="7D9D438F"/>
    <w:rsid w:val="7DA514D2"/>
    <w:rsid w:val="7DAE6BE3"/>
    <w:rsid w:val="7DBB131F"/>
    <w:rsid w:val="7DCD1A27"/>
    <w:rsid w:val="7DCD4EB5"/>
    <w:rsid w:val="7DDF20BC"/>
    <w:rsid w:val="7DE07962"/>
    <w:rsid w:val="7DE34955"/>
    <w:rsid w:val="7DEF277B"/>
    <w:rsid w:val="7DF0793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7288F"/>
    <w:rsid w:val="7E7D055C"/>
    <w:rsid w:val="7E8104AE"/>
    <w:rsid w:val="7E85174A"/>
    <w:rsid w:val="7E8B68B9"/>
    <w:rsid w:val="7EA77314"/>
    <w:rsid w:val="7EAA7C26"/>
    <w:rsid w:val="7EAF1FAA"/>
    <w:rsid w:val="7EB13B0C"/>
    <w:rsid w:val="7EB4653A"/>
    <w:rsid w:val="7EBD44C4"/>
    <w:rsid w:val="7EC478B9"/>
    <w:rsid w:val="7ECA4601"/>
    <w:rsid w:val="7ECA61AD"/>
    <w:rsid w:val="7ECE7C95"/>
    <w:rsid w:val="7EDC22AD"/>
    <w:rsid w:val="7EDE4C34"/>
    <w:rsid w:val="7EE34086"/>
    <w:rsid w:val="7EE55F89"/>
    <w:rsid w:val="7EEB5719"/>
    <w:rsid w:val="7EF215E8"/>
    <w:rsid w:val="7EF525E1"/>
    <w:rsid w:val="7EF74FC9"/>
    <w:rsid w:val="7EFD041E"/>
    <w:rsid w:val="7F000B6A"/>
    <w:rsid w:val="7F0178C5"/>
    <w:rsid w:val="7F022EBD"/>
    <w:rsid w:val="7F023C17"/>
    <w:rsid w:val="7F033852"/>
    <w:rsid w:val="7F0B5962"/>
    <w:rsid w:val="7F0C2035"/>
    <w:rsid w:val="7F0F0FAF"/>
    <w:rsid w:val="7F0F7992"/>
    <w:rsid w:val="7F1B0865"/>
    <w:rsid w:val="7F271AA3"/>
    <w:rsid w:val="7F311BC5"/>
    <w:rsid w:val="7F354370"/>
    <w:rsid w:val="7F397345"/>
    <w:rsid w:val="7F4D1868"/>
    <w:rsid w:val="7F4D3BF2"/>
    <w:rsid w:val="7F542B37"/>
    <w:rsid w:val="7F57085D"/>
    <w:rsid w:val="7F630EB2"/>
    <w:rsid w:val="7F6A77AB"/>
    <w:rsid w:val="7F6B2248"/>
    <w:rsid w:val="7F725E7C"/>
    <w:rsid w:val="7F761ADC"/>
    <w:rsid w:val="7F7D7A8E"/>
    <w:rsid w:val="7F872588"/>
    <w:rsid w:val="7F8725BA"/>
    <w:rsid w:val="7F8C6A8F"/>
    <w:rsid w:val="7F8E2469"/>
    <w:rsid w:val="7F994DB5"/>
    <w:rsid w:val="7F9C175D"/>
    <w:rsid w:val="7F9F773D"/>
    <w:rsid w:val="7FA85877"/>
    <w:rsid w:val="7FAB3A81"/>
    <w:rsid w:val="7FBE6C35"/>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 w:type="table" w:customStyle="1" w:styleId="79">
    <w:name w:val="TableGrid3"/>
    <w:basedOn w:val="23"/>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
    <w:name w:val="TableGrid4"/>
    <w:basedOn w:val="23"/>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2025-08-15T07:44:27Z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7FC60AB734954F8EA8FF3592F624D33C</vt:lpwstr>
  </property>
</Properties>
</file>